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27A" w:rsidRPr="008F3BDC" w:rsidRDefault="00EE3B3B" w:rsidP="001C327A">
      <w:pPr>
        <w:pStyle w:val="h2"/>
        <w:ind w:left="576" w:hanging="576"/>
        <w:jc w:val="center"/>
        <w:rPr>
          <w:rFonts w:cstheme="minorHAnsi"/>
          <w:sz w:val="22"/>
          <w:szCs w:val="22"/>
        </w:rPr>
      </w:pPr>
      <w:bookmarkStart w:id="0" w:name="_Toc90032379"/>
      <w:bookmarkStart w:id="1" w:name="_Toc88128739"/>
      <w:r>
        <w:rPr>
          <w:rFonts w:cstheme="minorHAnsi"/>
          <w:sz w:val="22"/>
          <w:szCs w:val="22"/>
        </w:rPr>
        <w:t xml:space="preserve">Príloha č. </w:t>
      </w:r>
      <w:bookmarkStart w:id="2" w:name="_GoBack"/>
      <w:bookmarkEnd w:id="2"/>
      <w:r w:rsidRPr="00EE3B3B">
        <w:rPr>
          <w:rFonts w:cstheme="minorHAnsi"/>
          <w:sz w:val="22"/>
          <w:szCs w:val="22"/>
        </w:rPr>
        <w:t>5.1- 3 Metodické usmernenie k spoločným ukazovateľom</w:t>
      </w:r>
      <w:r w:rsidR="0056639C">
        <w:rPr>
          <w:noProof/>
          <w:lang w:eastAsia="sk-SK"/>
        </w:rPr>
        <mc:AlternateContent>
          <mc:Choice Requires="wps">
            <w:drawing>
              <wp:anchor distT="0" distB="0" distL="114300" distR="114300" simplePos="0" relativeHeight="251659264" behindDoc="1" locked="0" layoutInCell="1" allowOverlap="1" wp14:anchorId="2AED0629" wp14:editId="62122B15">
                <wp:simplePos x="0" y="0"/>
                <wp:positionH relativeFrom="page">
                  <wp:align>left</wp:align>
                </wp:positionH>
                <wp:positionV relativeFrom="paragraph">
                  <wp:posOffset>-905510</wp:posOffset>
                </wp:positionV>
                <wp:extent cx="8820150" cy="11630025"/>
                <wp:effectExtent l="0" t="0" r="19050" b="28575"/>
                <wp:wrapNone/>
                <wp:docPr id="1" name="Pravouholník 1"/>
                <wp:cNvGraphicFramePr/>
                <a:graphic xmlns:a="http://schemas.openxmlformats.org/drawingml/2006/main">
                  <a:graphicData uri="http://schemas.microsoft.com/office/word/2010/wordprocessingShape">
                    <wps:wsp>
                      <wps:cNvSpPr/>
                      <wps:spPr>
                        <a:xfrm>
                          <a:off x="0" y="0"/>
                          <a:ext cx="8820150" cy="11630025"/>
                        </a:xfrm>
                        <a:prstGeom prst="rect">
                          <a:avLst/>
                        </a:prstGeom>
                        <a:solidFill>
                          <a:srgbClr val="282069"/>
                        </a:solidFill>
                      </wps:spPr>
                      <wps:style>
                        <a:lnRef idx="2">
                          <a:schemeClr val="accent1">
                            <a:shade val="50000"/>
                          </a:schemeClr>
                        </a:lnRef>
                        <a:fillRef idx="1">
                          <a:schemeClr val="accent1"/>
                        </a:fillRef>
                        <a:effectRef idx="0">
                          <a:schemeClr val="accent1"/>
                        </a:effectRef>
                        <a:fontRef idx="minor">
                          <a:schemeClr val="lt1"/>
                        </a:fontRef>
                      </wps:style>
                      <wps:txbx>
                        <w:txbxContent>
                          <w:p w:rsidR="00DC11B7" w:rsidRDefault="00DC11B7" w:rsidP="0056639C">
                            <w:pPr>
                              <w:rPr>
                                <w:sz w:val="52"/>
                                <w:szCs w:val="52"/>
                              </w:rPr>
                            </w:pPr>
                            <w:r>
                              <w:rPr>
                                <w:sz w:val="52"/>
                                <w:szCs w:val="52"/>
                              </w:rPr>
                              <w:t xml:space="preserve">               </w:t>
                            </w:r>
                          </w:p>
                          <w:p w:rsidR="00DC11B7" w:rsidRDefault="00DC11B7" w:rsidP="0056639C">
                            <w:pPr>
                              <w:rPr>
                                <w:sz w:val="52"/>
                                <w:szCs w:val="52"/>
                              </w:rPr>
                            </w:pPr>
                          </w:p>
                          <w:p w:rsidR="00DC11B7" w:rsidRDefault="00DC11B7" w:rsidP="0056639C">
                            <w:pPr>
                              <w:rPr>
                                <w:sz w:val="52"/>
                                <w:szCs w:val="52"/>
                              </w:rPr>
                            </w:pPr>
                          </w:p>
                          <w:p w:rsidR="00DC11B7" w:rsidRDefault="00DC11B7" w:rsidP="0056639C">
                            <w:pPr>
                              <w:rPr>
                                <w:sz w:val="52"/>
                                <w:szCs w:val="52"/>
                              </w:rPr>
                            </w:pPr>
                          </w:p>
                          <w:p w:rsidR="00DC11B7" w:rsidRDefault="00DC11B7" w:rsidP="0056639C">
                            <w:pPr>
                              <w:jc w:val="center"/>
                              <w:rPr>
                                <w:b/>
                                <w:bCs/>
                                <w:color w:val="FFFFFF" w:themeColor="background1"/>
                                <w:sz w:val="52"/>
                                <w:szCs w:val="52"/>
                              </w:rPr>
                            </w:pPr>
                          </w:p>
                          <w:p w:rsidR="00DC11B7" w:rsidRDefault="00DC11B7" w:rsidP="0056639C">
                            <w:pPr>
                              <w:jc w:val="center"/>
                              <w:rPr>
                                <w:b/>
                                <w:bCs/>
                                <w:color w:val="FFFFFF" w:themeColor="background1"/>
                                <w:sz w:val="52"/>
                                <w:szCs w:val="52"/>
                              </w:rPr>
                            </w:pPr>
                          </w:p>
                          <w:p w:rsidR="00DC11B7" w:rsidRPr="0056639C" w:rsidRDefault="00DC11B7" w:rsidP="0056639C">
                            <w:pPr>
                              <w:pStyle w:val="Odsekzoznamu"/>
                              <w:rPr>
                                <w:b/>
                                <w:bCs/>
                                <w:color w:val="FFFFFF" w:themeColor="background1"/>
                                <w:sz w:val="52"/>
                                <w:szCs w:val="52"/>
                              </w:rPr>
                            </w:pPr>
                            <w:r>
                              <w:rPr>
                                <w:noProof/>
                                <w:lang w:eastAsia="sk-SK"/>
                              </w:rPr>
                              <w:t xml:space="preserve">                     </w:t>
                            </w:r>
                            <w:r w:rsidR="00C84894">
                              <w:rPr>
                                <w:noProof/>
                                <w:lang w:eastAsia="sk-SK"/>
                              </w:rPr>
                              <w:pict>
                                <v:shape id="Obrázok 6" o:spid="_x0000_i1027" type="#_x0000_t75" style="width:13.5pt;height:18pt;visibility:visible;mso-wrap-style:square" o:bullet="t">
                                  <v:imagedata r:id="rId8" o:title=""/>
                                </v:shape>
                              </w:pict>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č. 01/2022</w:t>
                            </w:r>
                          </w:p>
                          <w:p w:rsidR="00DC11B7" w:rsidRPr="0056639C" w:rsidRDefault="00DC11B7" w:rsidP="0056639C">
                            <w:pPr>
                              <w:rPr>
                                <w:b/>
                                <w:bCs/>
                                <w:color w:val="FFFFFF" w:themeColor="background1"/>
                                <w:sz w:val="52"/>
                                <w:szCs w:val="52"/>
                              </w:rPr>
                            </w:pPr>
                            <w:r>
                              <w:rPr>
                                <w:b/>
                                <w:bCs/>
                                <w:color w:val="FFFFFF" w:themeColor="background1"/>
                                <w:sz w:val="52"/>
                                <w:szCs w:val="52"/>
                              </w:rPr>
                              <w:t xml:space="preserve">                    k spoločným ukazovateľom </w:t>
                            </w:r>
                            <w:r w:rsidRPr="00AE350F">
                              <w:rPr>
                                <w:noProof/>
                                <w:sz w:val="52"/>
                                <w:szCs w:val="52"/>
                                <w:lang w:eastAsia="sk-SK"/>
                              </w:rPr>
                              <w:drawing>
                                <wp:inline distT="0" distB="0" distL="0" distR="0" wp14:anchorId="2A26028B" wp14:editId="0F3C4BA4">
                                  <wp:extent cx="161925" cy="21907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p>
                          <w:p w:rsidR="00DC11B7" w:rsidRPr="0056639C" w:rsidRDefault="00DC11B7" w:rsidP="0056639C">
                            <w:pPr>
                              <w:rPr>
                                <w:b/>
                                <w:bCs/>
                                <w:color w:val="FFFFFF" w:themeColor="background1"/>
                                <w:sz w:val="52"/>
                                <w:szCs w:val="52"/>
                              </w:rPr>
                            </w:pPr>
                          </w:p>
                          <w:p w:rsidR="00DC11B7" w:rsidRPr="0056639C" w:rsidRDefault="00DC11B7" w:rsidP="0056639C">
                            <w:pPr>
                              <w:rPr>
                                <w:b/>
                                <w:bCs/>
                                <w:color w:val="FFFFFF" w:themeColor="background1"/>
                                <w:sz w:val="52"/>
                                <w:szCs w:val="52"/>
                              </w:rPr>
                            </w:pPr>
                            <w:r w:rsidRPr="0056639C">
                              <w:rPr>
                                <w:b/>
                                <w:bCs/>
                                <w:color w:val="FFFFFF" w:themeColor="background1"/>
                                <w:sz w:val="52"/>
                                <w:szCs w:val="52"/>
                              </w:rPr>
                              <w:t xml:space="preserve">   </w:t>
                            </w:r>
                          </w:p>
                          <w:p w:rsidR="00DC11B7" w:rsidRDefault="00DC11B7" w:rsidP="0056639C">
                            <w:pPr>
                              <w:tabs>
                                <w:tab w:val="left" w:pos="2410"/>
                              </w:tabs>
                              <w:rPr>
                                <w:b/>
                                <w:bCs/>
                                <w:color w:val="FFFFFF" w:themeColor="background1"/>
                                <w:sz w:val="52"/>
                                <w:szCs w:val="52"/>
                              </w:rPr>
                            </w:pPr>
                            <w:r>
                              <w:rPr>
                                <w:color w:val="FF0000"/>
                                <w:sz w:val="52"/>
                                <w:szCs w:val="52"/>
                              </w:rPr>
                              <w:t xml:space="preserve">                   </w:t>
                            </w: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jc w:val="center"/>
                              <w:rPr>
                                <w:b/>
                                <w:bCs/>
                                <w:color w:val="FFFFFF" w:themeColor="background1"/>
                                <w:sz w:val="52"/>
                                <w:szCs w:val="52"/>
                              </w:rPr>
                            </w:pPr>
                            <w:r>
                              <w:rPr>
                                <w:noProof/>
                                <w:lang w:eastAsia="sk-SK"/>
                              </w:rPr>
                              <w:drawing>
                                <wp:inline distT="0" distB="0" distL="0" distR="0" wp14:anchorId="5D960829" wp14:editId="5FC404AA">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76997" cy="409320"/>
                                          </a:xfrm>
                                          <a:prstGeom prst="rect">
                                            <a:avLst/>
                                          </a:prstGeom>
                                        </pic:spPr>
                                      </pic:pic>
                                    </a:graphicData>
                                  </a:graphic>
                                </wp:inline>
                              </w:drawing>
                            </w:r>
                          </w:p>
                          <w:p w:rsidR="00DC11B7" w:rsidRPr="00CF48D4" w:rsidRDefault="00DC11B7" w:rsidP="0056639C">
                            <w:pPr>
                              <w:ind w:left="283"/>
                              <w:rPr>
                                <w:b/>
                                <w:bCs/>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r>
                              <w:rPr>
                                <w:noProof/>
                              </w:rPr>
                              <w:t xml:space="preserve">       </w:t>
                            </w:r>
                          </w:p>
                          <w:p w:rsidR="00DC11B7" w:rsidRDefault="00DC11B7" w:rsidP="0056639C">
                            <w:pPr>
                              <w:ind w:left="283"/>
                              <w:rPr>
                                <w:noProof/>
                              </w:rPr>
                            </w:pPr>
                            <w:r>
                              <w:rPr>
                                <w:noProof/>
                              </w:rPr>
                              <w:tab/>
                            </w:r>
                          </w:p>
                          <w:p w:rsidR="00DC11B7" w:rsidRDefault="00DC11B7" w:rsidP="0056639C">
                            <w:pPr>
                              <w:ind w:left="283"/>
                              <w:rPr>
                                <w:noProof/>
                              </w:rPr>
                            </w:pPr>
                            <w:r>
                              <w:rPr>
                                <w:noProof/>
                              </w:rPr>
                              <w:t xml:space="preserve">  </w:t>
                            </w:r>
                          </w:p>
                          <w:p w:rsidR="00DC11B7" w:rsidRPr="00293F91" w:rsidRDefault="00DC11B7" w:rsidP="0056639C">
                            <w:pPr>
                              <w:ind w:left="283"/>
                              <w:jc w:val="center"/>
                              <w:rPr>
                                <w:rFonts w:cs="Times New Roman (Základný text"/>
                                <w:b/>
                                <w:smallCaps/>
                                <w:color w:val="FF0000"/>
                                <w:sz w:val="52"/>
                              </w:rPr>
                            </w:pPr>
                            <w:r>
                              <w:rPr>
                                <w:noProof/>
                                <w:lang w:eastAsia="sk-SK"/>
                              </w:rPr>
                              <w:drawing>
                                <wp:inline distT="0" distB="0" distL="0" distR="0" wp14:anchorId="7DF3E856" wp14:editId="112531BE">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576997" cy="4093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ED0629" id="Pravouholník 1" o:spid="_x0000_s1026" style="position:absolute;left:0;text-align:left;margin-left:0;margin-top:-71.3pt;width:694.5pt;height:915.75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" fillcolor="#282069" strokecolor="#1f4d78 [1604]" strokeweight="1pt">
                <v:textbox>
                  <w:txbxContent>
                    <w:p w:rsidR="00DC11B7" w:rsidRDefault="00DC11B7" w:rsidP="0056639C">
                      <w:pPr>
                        <w:rPr>
                          <w:sz w:val="52"/>
                          <w:szCs w:val="52"/>
                        </w:rPr>
                      </w:pPr>
                      <w:r>
                        <w:rPr>
                          <w:sz w:val="52"/>
                          <w:szCs w:val="52"/>
                        </w:rPr>
                        <w:t xml:space="preserve">               </w:t>
                      </w:r>
                    </w:p>
                    <w:p w:rsidR="00DC11B7" w:rsidRDefault="00DC11B7" w:rsidP="0056639C">
                      <w:pPr>
                        <w:rPr>
                          <w:sz w:val="52"/>
                          <w:szCs w:val="52"/>
                        </w:rPr>
                      </w:pPr>
                    </w:p>
                    <w:p w:rsidR="00DC11B7" w:rsidRDefault="00DC11B7" w:rsidP="0056639C">
                      <w:pPr>
                        <w:rPr>
                          <w:sz w:val="52"/>
                          <w:szCs w:val="52"/>
                        </w:rPr>
                      </w:pPr>
                    </w:p>
                    <w:p w:rsidR="00DC11B7" w:rsidRDefault="00DC11B7" w:rsidP="0056639C">
                      <w:pPr>
                        <w:rPr>
                          <w:sz w:val="52"/>
                          <w:szCs w:val="52"/>
                        </w:rPr>
                      </w:pPr>
                    </w:p>
                    <w:p w:rsidR="00DC11B7" w:rsidRDefault="00DC11B7" w:rsidP="0056639C">
                      <w:pPr>
                        <w:jc w:val="center"/>
                        <w:rPr>
                          <w:b/>
                          <w:bCs/>
                          <w:color w:val="FFFFFF" w:themeColor="background1"/>
                          <w:sz w:val="52"/>
                          <w:szCs w:val="52"/>
                        </w:rPr>
                      </w:pPr>
                    </w:p>
                    <w:p w:rsidR="00DC11B7" w:rsidRDefault="00DC11B7" w:rsidP="0056639C">
                      <w:pPr>
                        <w:jc w:val="center"/>
                        <w:rPr>
                          <w:b/>
                          <w:bCs/>
                          <w:color w:val="FFFFFF" w:themeColor="background1"/>
                          <w:sz w:val="52"/>
                          <w:szCs w:val="52"/>
                        </w:rPr>
                      </w:pPr>
                    </w:p>
                    <w:p w:rsidR="00DC11B7" w:rsidRPr="0056639C" w:rsidRDefault="00DC11B7" w:rsidP="0056639C">
                      <w:pPr>
                        <w:pStyle w:val="Odsekzoznamu"/>
                        <w:rPr>
                          <w:b/>
                          <w:bCs/>
                          <w:color w:val="FFFFFF" w:themeColor="background1"/>
                          <w:sz w:val="52"/>
                          <w:szCs w:val="52"/>
                        </w:rPr>
                      </w:pPr>
                      <w:r>
                        <w:rPr>
                          <w:noProof/>
                          <w:lang w:eastAsia="sk-SK"/>
                        </w:rPr>
                        <w:t xml:space="preserve">                     </w:t>
                      </w:r>
                      <w:r w:rsidR="00B33FC1">
                        <w:rPr>
                          <w:b/>
                          <w:noProof/>
                          <w:lang w:eastAsia="sk-SK"/>
                        </w:rPr>
                        <w:pict>
                          <v:shape id="Obrázok 6" o:spid="_x0000_i1027" type="#_x0000_t75" style="width:13.5pt;height:18pt;visibility:visible;mso-wrap-style:square" o:bullet="t">
                            <v:imagedata r:id="rId11" o:title=""/>
                          </v:shape>
                        </w:pict>
                      </w:r>
                      <w:r>
                        <w:rPr>
                          <w:noProof/>
                          <w:lang w:eastAsia="sk-SK"/>
                        </w:rPr>
                        <w:t xml:space="preserve">  </w:t>
                      </w:r>
                      <w:r w:rsidRPr="0056639C">
                        <w:rPr>
                          <w:b/>
                          <w:bCs/>
                          <w:color w:val="FF0000"/>
                          <w:sz w:val="52"/>
                          <w:szCs w:val="52"/>
                        </w:rPr>
                        <w:t>Metodické usmernenie</w:t>
                      </w:r>
                      <w:r w:rsidRPr="0056639C">
                        <w:rPr>
                          <w:b/>
                          <w:bCs/>
                          <w:color w:val="FFFFFF" w:themeColor="background1"/>
                          <w:sz w:val="52"/>
                          <w:szCs w:val="52"/>
                        </w:rPr>
                        <w:t xml:space="preserve"> č. 01/2022</w:t>
                      </w:r>
                    </w:p>
                    <w:p w:rsidR="00DC11B7" w:rsidRPr="0056639C" w:rsidRDefault="00DC11B7" w:rsidP="0056639C">
                      <w:pPr>
                        <w:rPr>
                          <w:b/>
                          <w:bCs/>
                          <w:color w:val="FFFFFF" w:themeColor="background1"/>
                          <w:sz w:val="52"/>
                          <w:szCs w:val="52"/>
                        </w:rPr>
                      </w:pPr>
                      <w:r>
                        <w:rPr>
                          <w:b/>
                          <w:bCs/>
                          <w:color w:val="FFFFFF" w:themeColor="background1"/>
                          <w:sz w:val="52"/>
                          <w:szCs w:val="52"/>
                        </w:rPr>
                        <w:t xml:space="preserve">                    k spoločným ukazovateľom </w:t>
                      </w:r>
                      <w:r w:rsidRPr="00AE350F">
                        <w:rPr>
                          <w:noProof/>
                          <w:sz w:val="52"/>
                          <w:szCs w:val="52"/>
                          <w:lang w:eastAsia="sk-SK"/>
                        </w:rPr>
                        <w:drawing>
                          <wp:inline distT="0" distB="0" distL="0" distR="0" wp14:anchorId="2A26028B" wp14:editId="0F3C4BA4">
                            <wp:extent cx="161925" cy="21907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1925" cy="219075"/>
                                    </a:xfrm>
                                    <a:prstGeom prst="rect">
                                      <a:avLst/>
                                    </a:prstGeom>
                                    <a:noFill/>
                                    <a:ln>
                                      <a:noFill/>
                                    </a:ln>
                                  </pic:spPr>
                                </pic:pic>
                              </a:graphicData>
                            </a:graphic>
                          </wp:inline>
                        </w:drawing>
                      </w:r>
                    </w:p>
                    <w:p w:rsidR="00DC11B7" w:rsidRPr="0056639C" w:rsidRDefault="00DC11B7" w:rsidP="0056639C">
                      <w:pPr>
                        <w:rPr>
                          <w:b/>
                          <w:bCs/>
                          <w:color w:val="FFFFFF" w:themeColor="background1"/>
                          <w:sz w:val="52"/>
                          <w:szCs w:val="52"/>
                        </w:rPr>
                      </w:pPr>
                    </w:p>
                    <w:p w:rsidR="00DC11B7" w:rsidRPr="0056639C" w:rsidRDefault="00DC11B7" w:rsidP="0056639C">
                      <w:pPr>
                        <w:rPr>
                          <w:b/>
                          <w:bCs/>
                          <w:color w:val="FFFFFF" w:themeColor="background1"/>
                          <w:sz w:val="52"/>
                          <w:szCs w:val="52"/>
                        </w:rPr>
                      </w:pPr>
                      <w:r w:rsidRPr="0056639C">
                        <w:rPr>
                          <w:b/>
                          <w:bCs/>
                          <w:color w:val="FFFFFF" w:themeColor="background1"/>
                          <w:sz w:val="52"/>
                          <w:szCs w:val="52"/>
                        </w:rPr>
                        <w:t xml:space="preserve">   </w:t>
                      </w:r>
                    </w:p>
                    <w:p w:rsidR="00DC11B7" w:rsidRDefault="00DC11B7" w:rsidP="0056639C">
                      <w:pPr>
                        <w:tabs>
                          <w:tab w:val="left" w:pos="2410"/>
                        </w:tabs>
                        <w:rPr>
                          <w:b/>
                          <w:bCs/>
                          <w:color w:val="FFFFFF" w:themeColor="background1"/>
                          <w:sz w:val="52"/>
                          <w:szCs w:val="52"/>
                        </w:rPr>
                      </w:pPr>
                      <w:r>
                        <w:rPr>
                          <w:color w:val="FF0000"/>
                          <w:sz w:val="52"/>
                          <w:szCs w:val="52"/>
                        </w:rPr>
                        <w:t xml:space="preserve">                   </w:t>
                      </w: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rPr>
                          <w:b/>
                          <w:bCs/>
                          <w:color w:val="FFFFFF" w:themeColor="background1"/>
                          <w:sz w:val="52"/>
                          <w:szCs w:val="52"/>
                        </w:rPr>
                      </w:pPr>
                    </w:p>
                    <w:p w:rsidR="00DC11B7" w:rsidRDefault="00DC11B7" w:rsidP="0056639C">
                      <w:pPr>
                        <w:ind w:left="283"/>
                        <w:jc w:val="center"/>
                        <w:rPr>
                          <w:b/>
                          <w:bCs/>
                          <w:color w:val="FFFFFF" w:themeColor="background1"/>
                          <w:sz w:val="52"/>
                          <w:szCs w:val="52"/>
                        </w:rPr>
                      </w:pPr>
                      <w:r>
                        <w:rPr>
                          <w:noProof/>
                          <w:lang w:eastAsia="sk-SK"/>
                        </w:rPr>
                        <w:drawing>
                          <wp:inline distT="0" distB="0" distL="0" distR="0" wp14:anchorId="5D960829" wp14:editId="5FC404AA">
                            <wp:extent cx="4568201" cy="335280"/>
                            <wp:effectExtent l="0" t="0" r="381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76997" cy="409320"/>
                                    </a:xfrm>
                                    <a:prstGeom prst="rect">
                                      <a:avLst/>
                                    </a:prstGeom>
                                  </pic:spPr>
                                </pic:pic>
                              </a:graphicData>
                            </a:graphic>
                          </wp:inline>
                        </w:drawing>
                      </w:r>
                    </w:p>
                    <w:p w:rsidR="00DC11B7" w:rsidRPr="00CF48D4" w:rsidRDefault="00DC11B7" w:rsidP="0056639C">
                      <w:pPr>
                        <w:ind w:left="283"/>
                        <w:rPr>
                          <w:b/>
                          <w:bCs/>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ind w:left="283"/>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p>
                    <w:p w:rsidR="00DC11B7" w:rsidRDefault="00DC11B7" w:rsidP="0056639C">
                      <w:pPr>
                        <w:rPr>
                          <w:noProof/>
                        </w:rPr>
                      </w:pPr>
                      <w:r>
                        <w:rPr>
                          <w:noProof/>
                        </w:rPr>
                        <w:t xml:space="preserve">       </w:t>
                      </w:r>
                    </w:p>
                    <w:p w:rsidR="00DC11B7" w:rsidRDefault="00DC11B7" w:rsidP="0056639C">
                      <w:pPr>
                        <w:ind w:left="283"/>
                        <w:rPr>
                          <w:noProof/>
                        </w:rPr>
                      </w:pPr>
                      <w:r>
                        <w:rPr>
                          <w:noProof/>
                        </w:rPr>
                        <w:tab/>
                      </w:r>
                    </w:p>
                    <w:p w:rsidR="00DC11B7" w:rsidRDefault="00DC11B7" w:rsidP="0056639C">
                      <w:pPr>
                        <w:ind w:left="283"/>
                        <w:rPr>
                          <w:noProof/>
                        </w:rPr>
                      </w:pPr>
                      <w:r>
                        <w:rPr>
                          <w:noProof/>
                        </w:rPr>
                        <w:t xml:space="preserve">  </w:t>
                      </w:r>
                    </w:p>
                    <w:p w:rsidR="00DC11B7" w:rsidRPr="00293F91" w:rsidRDefault="00DC11B7" w:rsidP="0056639C">
                      <w:pPr>
                        <w:ind w:left="283"/>
                        <w:jc w:val="center"/>
                        <w:rPr>
                          <w:rFonts w:cs="Times New Roman (Základný text"/>
                          <w:b/>
                          <w:smallCaps/>
                          <w:color w:val="FF0000"/>
                          <w:sz w:val="52"/>
                        </w:rPr>
                      </w:pPr>
                      <w:r>
                        <w:rPr>
                          <w:noProof/>
                          <w:lang w:eastAsia="sk-SK"/>
                        </w:rPr>
                        <w:drawing>
                          <wp:inline distT="0" distB="0" distL="0" distR="0" wp14:anchorId="7DF3E856" wp14:editId="112531BE">
                            <wp:extent cx="4568201" cy="335280"/>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576997" cy="409320"/>
                                    </a:xfrm>
                                    <a:prstGeom prst="rect">
                                      <a:avLst/>
                                    </a:prstGeom>
                                  </pic:spPr>
                                </pic:pic>
                              </a:graphicData>
                            </a:graphic>
                          </wp:inline>
                        </w:drawing>
                      </w:r>
                    </w:p>
                  </w:txbxContent>
                </v:textbox>
                <w10:wrap anchorx="page"/>
              </v:rect>
            </w:pict>
          </mc:Fallback>
        </mc:AlternateContent>
      </w:r>
    </w:p>
    <w:p w:rsidR="001C327A" w:rsidRPr="008F3BDC" w:rsidRDefault="001C327A" w:rsidP="001C327A">
      <w:pPr>
        <w:pStyle w:val="h2"/>
        <w:ind w:left="576" w:hanging="576"/>
        <w:jc w:val="center"/>
        <w:rPr>
          <w:rFonts w:cstheme="minorHAnsi"/>
          <w:sz w:val="22"/>
          <w:szCs w:val="22"/>
        </w:rPr>
      </w:pPr>
    </w:p>
    <w:p w:rsidR="001C327A" w:rsidRPr="008F3BDC" w:rsidRDefault="001C327A" w:rsidP="001C327A">
      <w:pPr>
        <w:pStyle w:val="h2"/>
        <w:ind w:left="576" w:hanging="576"/>
        <w:jc w:val="center"/>
        <w:rPr>
          <w:rFonts w:cstheme="minorHAnsi"/>
          <w:sz w:val="22"/>
          <w:szCs w:val="22"/>
        </w:rPr>
      </w:pPr>
    </w:p>
    <w:p w:rsidR="001C327A" w:rsidRPr="008F3BDC" w:rsidRDefault="001C327A" w:rsidP="001C327A">
      <w:pPr>
        <w:pStyle w:val="h2"/>
        <w:ind w:left="576" w:hanging="576"/>
        <w:jc w:val="center"/>
        <w:rPr>
          <w:rFonts w:cstheme="minorHAnsi"/>
          <w:sz w:val="22"/>
          <w:szCs w:val="22"/>
        </w:rPr>
      </w:pPr>
    </w:p>
    <w:p w:rsidR="001C327A" w:rsidRPr="008F3BDC" w:rsidRDefault="001C327A" w:rsidP="001C327A">
      <w:pPr>
        <w:pStyle w:val="h2"/>
        <w:ind w:left="576" w:hanging="576"/>
        <w:jc w:val="center"/>
        <w:rPr>
          <w:rFonts w:cstheme="minorHAnsi"/>
          <w:sz w:val="22"/>
          <w:szCs w:val="22"/>
        </w:rPr>
      </w:pPr>
    </w:p>
    <w:p w:rsidR="001C327A" w:rsidRPr="008F3BDC" w:rsidRDefault="001C327A" w:rsidP="0056639C">
      <w:pPr>
        <w:pStyle w:val="h2"/>
        <w:ind w:left="576" w:hanging="576"/>
        <w:rPr>
          <w:rFonts w:cstheme="minorHAnsi"/>
          <w:sz w:val="22"/>
          <w:szCs w:val="22"/>
        </w:rPr>
      </w:pPr>
    </w:p>
    <w:p w:rsidR="001C327A" w:rsidRPr="008F3BDC" w:rsidRDefault="001C327A" w:rsidP="001C327A">
      <w:pPr>
        <w:pStyle w:val="h2"/>
        <w:ind w:left="576" w:hanging="576"/>
        <w:jc w:val="center"/>
        <w:rPr>
          <w:rFonts w:cstheme="minorHAnsi"/>
          <w:sz w:val="22"/>
          <w:szCs w:val="22"/>
        </w:rPr>
      </w:pPr>
    </w:p>
    <w:p w:rsidR="0056639C" w:rsidRDefault="0056639C" w:rsidP="0056639C">
      <w:pPr>
        <w:pStyle w:val="h2"/>
        <w:ind w:left="576" w:hanging="576"/>
        <w:rPr>
          <w:rFonts w:cstheme="minorHAnsi"/>
          <w:sz w:val="22"/>
          <w:szCs w:val="22"/>
        </w:rPr>
      </w:pPr>
      <w:bookmarkStart w:id="3" w:name="_Toc95761564"/>
    </w:p>
    <w:bookmarkEnd w:id="0"/>
    <w:bookmarkEnd w:id="1"/>
    <w:bookmarkEnd w:id="3"/>
    <w:p w:rsidR="001C327A" w:rsidRPr="008F3BDC" w:rsidRDefault="001C327A">
      <w:pPr>
        <w:rPr>
          <w:rFonts w:ascii="Arial Narrow" w:hAnsi="Arial Narrow" w:cstheme="minorHAnsi"/>
        </w:rPr>
      </w:pPr>
      <w:r w:rsidRPr="008F3BDC">
        <w:rPr>
          <w:rFonts w:ascii="Arial Narrow" w:hAnsi="Arial Narrow" w:cstheme="minorHAnsi"/>
        </w:rPr>
        <w:br w:type="page"/>
      </w: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p w:rsidR="001C327A" w:rsidRPr="008F3BDC" w:rsidRDefault="001C327A">
      <w:pPr>
        <w:rPr>
          <w:rFonts w:ascii="Arial Narrow" w:hAnsi="Arial Narrow"/>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6795"/>
      </w:tblGrid>
      <w:tr w:rsidR="001C327A" w:rsidRPr="008F3BDC" w:rsidTr="00446574">
        <w:trPr>
          <w:trHeight w:val="737"/>
        </w:trPr>
        <w:tc>
          <w:tcPr>
            <w:tcW w:w="2262" w:type="dxa"/>
            <w:hideMark/>
          </w:tcPr>
          <w:p w:rsidR="001C327A" w:rsidRPr="008F3BDC" w:rsidRDefault="001C327A" w:rsidP="001C327A">
            <w:pPr>
              <w:spacing w:after="0" w:line="240" w:lineRule="auto"/>
              <w:rPr>
                <w:rFonts w:ascii="Arial Narrow" w:hAnsi="Arial Narrow"/>
                <w:b/>
              </w:rPr>
            </w:pPr>
            <w:r w:rsidRPr="008F3BDC">
              <w:rPr>
                <w:rFonts w:ascii="Arial Narrow" w:hAnsi="Arial Narrow"/>
                <w:b/>
              </w:rPr>
              <w:t>Názov:</w:t>
            </w:r>
          </w:p>
        </w:tc>
        <w:tc>
          <w:tcPr>
            <w:tcW w:w="6795" w:type="dxa"/>
            <w:hideMark/>
          </w:tcPr>
          <w:p w:rsidR="001C327A" w:rsidRPr="008F3BDC" w:rsidRDefault="001C327A" w:rsidP="008F2E58">
            <w:pPr>
              <w:spacing w:after="0" w:line="240" w:lineRule="auto"/>
              <w:jc w:val="both"/>
              <w:rPr>
                <w:rFonts w:ascii="Arial Narrow" w:hAnsi="Arial Narrow"/>
              </w:rPr>
            </w:pPr>
            <w:r w:rsidRPr="008F3BDC">
              <w:rPr>
                <w:rFonts w:ascii="Arial Narrow" w:hAnsi="Arial Narrow"/>
              </w:rPr>
              <w:t xml:space="preserve">Metodické usmernenie č. </w:t>
            </w:r>
            <w:r w:rsidR="008F2E58" w:rsidRPr="008F3BDC">
              <w:rPr>
                <w:rFonts w:ascii="Arial Narrow" w:hAnsi="Arial Narrow"/>
              </w:rPr>
              <w:t>0</w:t>
            </w:r>
            <w:r w:rsidR="00446574">
              <w:rPr>
                <w:rFonts w:ascii="Arial Narrow" w:hAnsi="Arial Narrow"/>
              </w:rPr>
              <w:t>1</w:t>
            </w:r>
            <w:r w:rsidRPr="008F3BDC">
              <w:rPr>
                <w:rFonts w:ascii="Arial Narrow" w:hAnsi="Arial Narrow"/>
              </w:rPr>
              <w:t>/2022 k spoločným ukazovateľom</w:t>
            </w:r>
          </w:p>
        </w:tc>
      </w:tr>
      <w:tr w:rsidR="001C327A" w:rsidRPr="008F3BDC" w:rsidTr="00446574">
        <w:trPr>
          <w:trHeight w:val="737"/>
        </w:trPr>
        <w:tc>
          <w:tcPr>
            <w:tcW w:w="2262" w:type="dxa"/>
            <w:hideMark/>
          </w:tcPr>
          <w:p w:rsidR="001C327A" w:rsidRPr="008F3BDC" w:rsidRDefault="001C327A" w:rsidP="001C327A">
            <w:pPr>
              <w:spacing w:after="0" w:line="240" w:lineRule="auto"/>
              <w:rPr>
                <w:rFonts w:ascii="Arial Narrow" w:hAnsi="Arial Narrow"/>
                <w:b/>
              </w:rPr>
            </w:pPr>
            <w:r w:rsidRPr="008F3BDC">
              <w:rPr>
                <w:rFonts w:ascii="Arial Narrow" w:hAnsi="Arial Narrow"/>
                <w:b/>
              </w:rPr>
              <w:t xml:space="preserve">Verzia: </w:t>
            </w:r>
          </w:p>
        </w:tc>
        <w:tc>
          <w:tcPr>
            <w:tcW w:w="6795" w:type="dxa"/>
            <w:hideMark/>
          </w:tcPr>
          <w:p w:rsidR="001C327A" w:rsidRPr="008F3BDC" w:rsidRDefault="001C327A" w:rsidP="001C327A">
            <w:pPr>
              <w:spacing w:after="0" w:line="240" w:lineRule="auto"/>
              <w:jc w:val="both"/>
              <w:rPr>
                <w:rFonts w:ascii="Arial Narrow" w:hAnsi="Arial Narrow"/>
              </w:rPr>
            </w:pPr>
            <w:r w:rsidRPr="008F3BDC">
              <w:rPr>
                <w:rFonts w:ascii="Arial Narrow" w:hAnsi="Arial Narrow"/>
              </w:rPr>
              <w:t>1.0</w:t>
            </w:r>
          </w:p>
        </w:tc>
      </w:tr>
      <w:tr w:rsidR="001C327A" w:rsidRPr="008F3BDC" w:rsidTr="00446574">
        <w:trPr>
          <w:trHeight w:val="737"/>
        </w:trPr>
        <w:tc>
          <w:tcPr>
            <w:tcW w:w="2262" w:type="dxa"/>
            <w:hideMark/>
          </w:tcPr>
          <w:p w:rsidR="001C327A" w:rsidRPr="008F3BDC" w:rsidRDefault="001C327A" w:rsidP="001C327A">
            <w:pPr>
              <w:spacing w:after="0" w:line="240" w:lineRule="auto"/>
              <w:rPr>
                <w:rFonts w:ascii="Arial Narrow" w:hAnsi="Arial Narrow"/>
                <w:b/>
              </w:rPr>
            </w:pPr>
            <w:r w:rsidRPr="008F3BDC">
              <w:rPr>
                <w:rFonts w:ascii="Arial Narrow" w:hAnsi="Arial Narrow"/>
                <w:b/>
              </w:rPr>
              <w:t>Vydala:</w:t>
            </w:r>
          </w:p>
        </w:tc>
        <w:tc>
          <w:tcPr>
            <w:tcW w:w="6795" w:type="dxa"/>
            <w:hideMark/>
          </w:tcPr>
          <w:p w:rsidR="001C327A" w:rsidRPr="008F3BDC" w:rsidRDefault="001C327A" w:rsidP="001C327A">
            <w:pPr>
              <w:spacing w:after="0" w:line="240" w:lineRule="auto"/>
              <w:jc w:val="both"/>
              <w:rPr>
                <w:rFonts w:ascii="Arial Narrow" w:hAnsi="Arial Narrow"/>
              </w:rPr>
            </w:pPr>
            <w:r w:rsidRPr="008F3BDC">
              <w:rPr>
                <w:rFonts w:ascii="Arial Narrow" w:hAnsi="Arial Narrow"/>
              </w:rPr>
              <w:t xml:space="preserve">Národná implementačná a koordinačná autorita - </w:t>
            </w:r>
          </w:p>
          <w:p w:rsidR="001C327A" w:rsidRPr="008F3BDC" w:rsidRDefault="001C327A" w:rsidP="001C327A">
            <w:pPr>
              <w:spacing w:after="0" w:line="240" w:lineRule="auto"/>
              <w:jc w:val="both"/>
              <w:rPr>
                <w:rFonts w:ascii="Arial Narrow" w:hAnsi="Arial Narrow"/>
              </w:rPr>
            </w:pPr>
            <w:r w:rsidRPr="008F3BDC">
              <w:rPr>
                <w:rFonts w:ascii="Arial Narrow" w:hAnsi="Arial Narrow"/>
              </w:rPr>
              <w:t>Úrad vlády Slovenskej republiky, sekcia plánu obnovy</w:t>
            </w:r>
          </w:p>
        </w:tc>
      </w:tr>
      <w:tr w:rsidR="00330591" w:rsidTr="00330591">
        <w:trPr>
          <w:trHeight w:val="737"/>
        </w:trPr>
        <w:tc>
          <w:tcPr>
            <w:tcW w:w="2262" w:type="dxa"/>
            <w:tcBorders>
              <w:top w:val="single" w:sz="4" w:space="0" w:color="auto"/>
              <w:left w:val="single" w:sz="4" w:space="0" w:color="auto"/>
              <w:bottom w:val="single" w:sz="4" w:space="0" w:color="auto"/>
              <w:right w:val="single" w:sz="4" w:space="0" w:color="auto"/>
            </w:tcBorders>
            <w:hideMark/>
          </w:tcPr>
          <w:p w:rsidR="00330591" w:rsidRDefault="00330591">
            <w:pPr>
              <w:spacing w:after="0" w:line="240" w:lineRule="auto"/>
              <w:rPr>
                <w:rFonts w:ascii="Arial Narrow" w:hAnsi="Arial Narrow"/>
                <w:b/>
              </w:rPr>
            </w:pPr>
            <w:r>
              <w:rPr>
                <w:rFonts w:ascii="Arial Narrow" w:hAnsi="Arial Narrow"/>
                <w:b/>
              </w:rPr>
              <w:t>Dátum vydania:</w:t>
            </w:r>
          </w:p>
        </w:tc>
        <w:tc>
          <w:tcPr>
            <w:tcW w:w="6795" w:type="dxa"/>
            <w:tcBorders>
              <w:top w:val="single" w:sz="4" w:space="0" w:color="auto"/>
              <w:left w:val="single" w:sz="4" w:space="0" w:color="auto"/>
              <w:bottom w:val="single" w:sz="4" w:space="0" w:color="auto"/>
              <w:right w:val="single" w:sz="4" w:space="0" w:color="auto"/>
            </w:tcBorders>
            <w:hideMark/>
          </w:tcPr>
          <w:p w:rsidR="00330591" w:rsidRDefault="00330591" w:rsidP="00330591">
            <w:pPr>
              <w:spacing w:after="0" w:line="240" w:lineRule="auto"/>
              <w:jc w:val="both"/>
              <w:rPr>
                <w:rFonts w:ascii="Arial Narrow" w:hAnsi="Arial Narrow"/>
              </w:rPr>
            </w:pPr>
          </w:p>
          <w:p w:rsidR="00330591" w:rsidRDefault="00330591" w:rsidP="00330591">
            <w:pPr>
              <w:spacing w:after="0" w:line="240" w:lineRule="auto"/>
              <w:jc w:val="both"/>
              <w:rPr>
                <w:rFonts w:ascii="Arial Narrow" w:hAnsi="Arial Narrow"/>
              </w:rPr>
            </w:pPr>
            <w:r>
              <w:rPr>
                <w:rFonts w:ascii="Arial Narrow" w:hAnsi="Arial Narrow"/>
              </w:rPr>
              <w:t>13.4.2022</w:t>
            </w:r>
          </w:p>
        </w:tc>
      </w:tr>
      <w:tr w:rsidR="00330591" w:rsidTr="00330591">
        <w:trPr>
          <w:trHeight w:val="737"/>
        </w:trPr>
        <w:tc>
          <w:tcPr>
            <w:tcW w:w="2262" w:type="dxa"/>
            <w:tcBorders>
              <w:top w:val="single" w:sz="4" w:space="0" w:color="auto"/>
              <w:left w:val="single" w:sz="4" w:space="0" w:color="auto"/>
              <w:bottom w:val="single" w:sz="4" w:space="0" w:color="auto"/>
              <w:right w:val="single" w:sz="4" w:space="0" w:color="auto"/>
            </w:tcBorders>
            <w:hideMark/>
          </w:tcPr>
          <w:p w:rsidR="00330591" w:rsidRDefault="00330591">
            <w:pPr>
              <w:spacing w:after="0" w:line="240" w:lineRule="auto"/>
              <w:rPr>
                <w:rFonts w:ascii="Arial Narrow" w:hAnsi="Arial Narrow"/>
                <w:b/>
              </w:rPr>
            </w:pPr>
            <w:r>
              <w:rPr>
                <w:rFonts w:ascii="Arial Narrow" w:hAnsi="Arial Narrow"/>
                <w:b/>
              </w:rPr>
              <w:t>Dátum účinnosti:</w:t>
            </w:r>
          </w:p>
        </w:tc>
        <w:tc>
          <w:tcPr>
            <w:tcW w:w="6795" w:type="dxa"/>
            <w:tcBorders>
              <w:top w:val="single" w:sz="4" w:space="0" w:color="auto"/>
              <w:left w:val="single" w:sz="4" w:space="0" w:color="auto"/>
              <w:bottom w:val="single" w:sz="4" w:space="0" w:color="auto"/>
              <w:right w:val="single" w:sz="4" w:space="0" w:color="auto"/>
            </w:tcBorders>
            <w:hideMark/>
          </w:tcPr>
          <w:p w:rsidR="00330591" w:rsidRDefault="00330591" w:rsidP="00330591">
            <w:pPr>
              <w:spacing w:after="0" w:line="240" w:lineRule="auto"/>
              <w:jc w:val="both"/>
              <w:rPr>
                <w:rFonts w:ascii="Arial Narrow" w:hAnsi="Arial Narrow"/>
              </w:rPr>
            </w:pPr>
          </w:p>
          <w:p w:rsidR="00330591" w:rsidRDefault="00330591" w:rsidP="00330591">
            <w:pPr>
              <w:spacing w:after="0" w:line="240" w:lineRule="auto"/>
              <w:jc w:val="both"/>
              <w:rPr>
                <w:rFonts w:ascii="Arial Narrow" w:hAnsi="Arial Narrow"/>
              </w:rPr>
            </w:pPr>
            <w:r>
              <w:rPr>
                <w:rFonts w:ascii="Arial Narrow" w:hAnsi="Arial Narrow"/>
              </w:rPr>
              <w:t>13.4.2022</w:t>
            </w:r>
          </w:p>
        </w:tc>
      </w:tr>
      <w:tr w:rsidR="00330591" w:rsidTr="00DC11B7">
        <w:trPr>
          <w:trHeight w:val="985"/>
        </w:trPr>
        <w:tc>
          <w:tcPr>
            <w:tcW w:w="2262" w:type="dxa"/>
            <w:tcBorders>
              <w:top w:val="single" w:sz="4" w:space="0" w:color="auto"/>
              <w:left w:val="single" w:sz="4" w:space="0" w:color="auto"/>
              <w:bottom w:val="single" w:sz="4" w:space="0" w:color="auto"/>
              <w:right w:val="single" w:sz="4" w:space="0" w:color="auto"/>
            </w:tcBorders>
            <w:hideMark/>
          </w:tcPr>
          <w:p w:rsidR="00330591" w:rsidRDefault="00330591">
            <w:pPr>
              <w:spacing w:after="0" w:line="240" w:lineRule="auto"/>
              <w:rPr>
                <w:rFonts w:ascii="Arial Narrow" w:hAnsi="Arial Narrow"/>
                <w:b/>
              </w:rPr>
            </w:pPr>
            <w:r>
              <w:rPr>
                <w:rFonts w:ascii="Arial Narrow" w:hAnsi="Arial Narrow"/>
                <w:b/>
              </w:rPr>
              <w:t>Schválil:</w:t>
            </w:r>
          </w:p>
        </w:tc>
        <w:tc>
          <w:tcPr>
            <w:tcW w:w="6795" w:type="dxa"/>
            <w:tcBorders>
              <w:top w:val="single" w:sz="4" w:space="0" w:color="auto"/>
              <w:left w:val="single" w:sz="4" w:space="0" w:color="auto"/>
              <w:bottom w:val="single" w:sz="4" w:space="0" w:color="auto"/>
              <w:right w:val="single" w:sz="4" w:space="0" w:color="auto"/>
            </w:tcBorders>
            <w:hideMark/>
          </w:tcPr>
          <w:p w:rsidR="00DC11B7" w:rsidRDefault="00DC11B7" w:rsidP="00330591">
            <w:pPr>
              <w:spacing w:after="0" w:line="240" w:lineRule="auto"/>
              <w:jc w:val="both"/>
              <w:rPr>
                <w:rFonts w:ascii="Arial Narrow" w:hAnsi="Arial Narrow"/>
              </w:rPr>
            </w:pPr>
          </w:p>
          <w:p w:rsidR="00DC11B7" w:rsidRDefault="00DC11B7" w:rsidP="00330591">
            <w:pPr>
              <w:spacing w:after="0" w:line="240" w:lineRule="auto"/>
              <w:jc w:val="both"/>
              <w:rPr>
                <w:rFonts w:ascii="Arial Narrow" w:hAnsi="Arial Narrow"/>
              </w:rPr>
            </w:pPr>
          </w:p>
          <w:p w:rsidR="00330591" w:rsidRPr="00330591" w:rsidRDefault="00330591" w:rsidP="00330591">
            <w:pPr>
              <w:spacing w:after="0" w:line="240" w:lineRule="auto"/>
              <w:jc w:val="both"/>
              <w:rPr>
                <w:rFonts w:ascii="Arial Narrow" w:hAnsi="Arial Narrow"/>
              </w:rPr>
            </w:pPr>
            <w:r w:rsidRPr="00330591">
              <w:rPr>
                <w:rFonts w:ascii="Arial Narrow" w:hAnsi="Arial Narrow"/>
              </w:rPr>
              <w:t>Ing. Lívia Vašáková, PhD.</w:t>
            </w:r>
          </w:p>
          <w:p w:rsidR="00330591" w:rsidRDefault="00330591" w:rsidP="00330591">
            <w:pPr>
              <w:spacing w:after="0" w:line="240" w:lineRule="auto"/>
              <w:jc w:val="both"/>
              <w:rPr>
                <w:rFonts w:ascii="Arial Narrow" w:hAnsi="Arial Narrow"/>
              </w:rPr>
            </w:pPr>
            <w:r w:rsidRPr="00330591">
              <w:rPr>
                <w:rFonts w:ascii="Arial Narrow" w:hAnsi="Arial Narrow"/>
              </w:rPr>
              <w:t>generálna riaditeľka sekcie plánu obnovy Úradu vlády Slovenskej republiky</w:t>
            </w:r>
          </w:p>
        </w:tc>
      </w:tr>
    </w:tbl>
    <w:p w:rsidR="00130E66" w:rsidRPr="008F3BDC" w:rsidRDefault="00130E66" w:rsidP="00103DD2">
      <w:pPr>
        <w:rPr>
          <w:rFonts w:ascii="Arial Narrow" w:hAnsi="Arial Narrow" w:cstheme="minorHAnsi"/>
        </w:rPr>
      </w:pPr>
    </w:p>
    <w:p w:rsidR="00DF20B5" w:rsidRPr="008F3BDC" w:rsidRDefault="00DF20B5" w:rsidP="00BE2650">
      <w:pPr>
        <w:spacing w:after="120"/>
        <w:jc w:val="both"/>
        <w:rPr>
          <w:rFonts w:ascii="Arial Narrow" w:hAnsi="Arial Narrow" w:cstheme="minorHAnsi"/>
        </w:rPr>
      </w:pPr>
    </w:p>
    <w:p w:rsidR="00BC2B2F" w:rsidRPr="008F3BDC" w:rsidRDefault="00BC2B2F" w:rsidP="00BE2650">
      <w:pPr>
        <w:spacing w:after="120"/>
        <w:jc w:val="both"/>
        <w:rPr>
          <w:rFonts w:ascii="Arial Narrow" w:hAnsi="Arial Narrow" w:cstheme="minorHAnsi"/>
        </w:rPr>
      </w:pPr>
    </w:p>
    <w:p w:rsidR="001C327A" w:rsidRPr="008F3BDC" w:rsidRDefault="001C327A">
      <w:pPr>
        <w:rPr>
          <w:rStyle w:val="Nadpis1Char"/>
          <w:rFonts w:ascii="Arial Narrow" w:hAnsi="Arial Narrow" w:cstheme="minorHAnsi"/>
          <w:b/>
          <w:color w:val="5B9BD5" w:themeColor="accent1"/>
          <w:sz w:val="22"/>
          <w:szCs w:val="22"/>
        </w:rPr>
      </w:pPr>
      <w:bookmarkStart w:id="4" w:name="_Toc88128737"/>
      <w:bookmarkStart w:id="5" w:name="_Toc90032377"/>
      <w:r w:rsidRPr="008F3BDC">
        <w:rPr>
          <w:rStyle w:val="Nadpis1Char"/>
          <w:rFonts w:ascii="Arial Narrow" w:hAnsi="Arial Narrow" w:cstheme="minorHAnsi"/>
          <w:b/>
          <w:color w:val="5B9BD5" w:themeColor="accent1"/>
          <w:sz w:val="22"/>
          <w:szCs w:val="22"/>
        </w:rPr>
        <w:br w:type="page"/>
      </w: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rsidP="00EE753D">
      <w:pPr>
        <w:pStyle w:val="Odsekzoznamu"/>
        <w:spacing w:before="480" w:after="240"/>
        <w:ind w:left="714"/>
        <w:rPr>
          <w:rStyle w:val="Nadpis1Char"/>
          <w:rFonts w:ascii="Arial Narrow" w:hAnsi="Arial Narrow" w:cstheme="minorHAnsi"/>
          <w:b/>
          <w:color w:val="5B9BD5" w:themeColor="accent1"/>
          <w:sz w:val="24"/>
          <w:szCs w:val="24"/>
        </w:rPr>
      </w:pPr>
      <w:r w:rsidRPr="008F3BDC">
        <w:rPr>
          <w:rStyle w:val="Nadpis1Char"/>
          <w:rFonts w:ascii="Arial Narrow" w:hAnsi="Arial Narrow" w:cstheme="minorHAnsi"/>
          <w:b/>
          <w:color w:val="5B9BD5" w:themeColor="accent1"/>
          <w:sz w:val="24"/>
          <w:szCs w:val="24"/>
        </w:rPr>
        <w:t>Obsah</w:t>
      </w:r>
    </w:p>
    <w:p w:rsidR="00EE753D" w:rsidRPr="008F3BDC" w:rsidRDefault="00EE753D">
      <w:pPr>
        <w:pStyle w:val="Obsah2"/>
        <w:tabs>
          <w:tab w:val="right" w:leader="dot" w:pos="9062"/>
        </w:tabs>
        <w:rPr>
          <w:noProof/>
        </w:rPr>
      </w:pPr>
      <w:r w:rsidRPr="008F3BDC">
        <w:rPr>
          <w:rStyle w:val="Nadpis1Char"/>
          <w:rFonts w:ascii="Arial Narrow" w:hAnsi="Arial Narrow" w:cstheme="minorHAnsi"/>
          <w:b/>
          <w:color w:val="5B9BD5" w:themeColor="accent1"/>
          <w:sz w:val="22"/>
          <w:szCs w:val="22"/>
        </w:rPr>
        <w:fldChar w:fldCharType="begin"/>
      </w:r>
      <w:r w:rsidRPr="008F3BDC">
        <w:rPr>
          <w:rStyle w:val="Nadpis1Char"/>
          <w:rFonts w:ascii="Arial Narrow" w:hAnsi="Arial Narrow" w:cstheme="minorHAnsi"/>
          <w:b/>
          <w:color w:val="5B9BD5" w:themeColor="accent1"/>
          <w:sz w:val="22"/>
          <w:szCs w:val="22"/>
        </w:rPr>
        <w:instrText xml:space="preserve"> TOC \o "1-2" \h \z \u </w:instrText>
      </w:r>
      <w:r w:rsidRPr="008F3BDC">
        <w:rPr>
          <w:rStyle w:val="Nadpis1Char"/>
          <w:rFonts w:ascii="Arial Narrow" w:hAnsi="Arial Narrow" w:cstheme="minorHAnsi"/>
          <w:b/>
          <w:color w:val="5B9BD5" w:themeColor="accent1"/>
          <w:sz w:val="22"/>
          <w:szCs w:val="22"/>
        </w:rPr>
        <w:fldChar w:fldCharType="separate"/>
      </w:r>
    </w:p>
    <w:p w:rsidR="00EE753D" w:rsidRPr="008F3BDC" w:rsidRDefault="00C84894">
      <w:pPr>
        <w:pStyle w:val="Obsah1"/>
        <w:tabs>
          <w:tab w:val="left" w:pos="440"/>
          <w:tab w:val="right" w:leader="dot" w:pos="9062"/>
        </w:tabs>
        <w:rPr>
          <w:noProof/>
        </w:rPr>
      </w:pPr>
      <w:hyperlink w:anchor="_Toc95761566" w:history="1">
        <w:r w:rsidR="00EE753D" w:rsidRPr="008F3BDC">
          <w:rPr>
            <w:rStyle w:val="Hypertextovprepojenie"/>
            <w:rFonts w:ascii="Arial Narrow" w:hAnsi="Arial Narrow" w:cstheme="minorHAnsi"/>
            <w:b/>
            <w:noProof/>
          </w:rPr>
          <w:t>1.</w:t>
        </w:r>
        <w:r w:rsidR="00EE753D" w:rsidRPr="008F3BDC">
          <w:rPr>
            <w:noProof/>
          </w:rPr>
          <w:tab/>
        </w:r>
        <w:r w:rsidR="00EE753D" w:rsidRPr="008F3BDC">
          <w:rPr>
            <w:rStyle w:val="Hypertextovprepojenie"/>
            <w:rFonts w:ascii="Arial Narrow" w:hAnsi="Arial Narrow" w:cstheme="minorHAnsi"/>
            <w:b/>
            <w:noProof/>
          </w:rPr>
          <w:t>Úvod</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_Toc95761566 \h </w:instrText>
        </w:r>
        <w:r w:rsidR="00EE753D" w:rsidRPr="008F3BDC">
          <w:rPr>
            <w:noProof/>
            <w:webHidden/>
          </w:rPr>
        </w:r>
        <w:r w:rsidR="00EE753D" w:rsidRPr="008F3BDC">
          <w:rPr>
            <w:noProof/>
            <w:webHidden/>
          </w:rPr>
          <w:fldChar w:fldCharType="separate"/>
        </w:r>
        <w:r w:rsidR="00DC11B7">
          <w:rPr>
            <w:noProof/>
            <w:webHidden/>
          </w:rPr>
          <w:t>4</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67" w:history="1">
        <w:r w:rsidR="00EE753D" w:rsidRPr="008F3BDC">
          <w:rPr>
            <w:rStyle w:val="Hypertextovprepojenie"/>
            <w:rFonts w:ascii="Arial Narrow" w:hAnsi="Arial Narrow" w:cstheme="minorHAnsi"/>
            <w:b/>
            <w:noProof/>
          </w:rPr>
          <w:t>2.</w:t>
        </w:r>
        <w:r w:rsidR="00EE753D" w:rsidRPr="008F3BDC">
          <w:rPr>
            <w:noProof/>
          </w:rPr>
          <w:tab/>
        </w:r>
        <w:r w:rsidR="00EE753D" w:rsidRPr="008F3BDC">
          <w:rPr>
            <w:rStyle w:val="Hypertextovprepojenie"/>
            <w:rFonts w:ascii="Arial Narrow" w:hAnsi="Arial Narrow" w:cstheme="minorHAnsi"/>
            <w:b/>
            <w:noProof/>
          </w:rPr>
          <w:t>Všeobecné zásady</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_Toc95761567 \h </w:instrText>
        </w:r>
        <w:r w:rsidR="00EE753D" w:rsidRPr="008F3BDC">
          <w:rPr>
            <w:noProof/>
            <w:webHidden/>
          </w:rPr>
        </w:r>
        <w:r w:rsidR="00EE753D" w:rsidRPr="008F3BDC">
          <w:rPr>
            <w:noProof/>
            <w:webHidden/>
          </w:rPr>
          <w:fldChar w:fldCharType="separate"/>
        </w:r>
        <w:r w:rsidR="00DC11B7">
          <w:rPr>
            <w:noProof/>
            <w:webHidden/>
          </w:rPr>
          <w:t>4</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68" w:history="1">
        <w:r w:rsidR="00EE753D" w:rsidRPr="008F3BDC">
          <w:rPr>
            <w:rStyle w:val="Hypertextovprepojenie"/>
            <w:rFonts w:ascii="Arial Narrow" w:hAnsi="Arial Narrow" w:cstheme="minorHAnsi"/>
            <w:b/>
            <w:noProof/>
          </w:rPr>
          <w:t>3.</w:t>
        </w:r>
        <w:r w:rsidR="00EE753D" w:rsidRPr="008F3BDC">
          <w:rPr>
            <w:noProof/>
          </w:rPr>
          <w:tab/>
        </w:r>
        <w:r w:rsidR="00EE753D" w:rsidRPr="008F3BDC">
          <w:rPr>
            <w:rStyle w:val="Hypertextovprepojenie"/>
            <w:rFonts w:ascii="Arial Narrow" w:hAnsi="Arial Narrow" w:cstheme="minorHAnsi"/>
            <w:b/>
            <w:noProof/>
          </w:rPr>
          <w:t>Obdobie sledovania, vykazovania hodnôt spoločných ukazovateľov a podávania správ</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_Toc95761568 \h </w:instrText>
        </w:r>
        <w:r w:rsidR="00EE753D" w:rsidRPr="008F3BDC">
          <w:rPr>
            <w:noProof/>
            <w:webHidden/>
          </w:rPr>
        </w:r>
        <w:r w:rsidR="00EE753D" w:rsidRPr="008F3BDC">
          <w:rPr>
            <w:noProof/>
            <w:webHidden/>
          </w:rPr>
          <w:fldChar w:fldCharType="separate"/>
        </w:r>
        <w:r w:rsidR="00DC11B7">
          <w:rPr>
            <w:noProof/>
            <w:webHidden/>
          </w:rPr>
          <w:t>5</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69" w:history="1">
        <w:r w:rsidR="00EE753D" w:rsidRPr="008F3BDC">
          <w:rPr>
            <w:rStyle w:val="Hypertextovprepojenie"/>
            <w:rFonts w:ascii="Arial Narrow" w:hAnsi="Arial Narrow" w:cstheme="minorHAnsi"/>
            <w:b/>
            <w:noProof/>
          </w:rPr>
          <w:t>4.</w:t>
        </w:r>
        <w:r w:rsidR="00EE753D" w:rsidRPr="008F3BDC">
          <w:rPr>
            <w:noProof/>
          </w:rPr>
          <w:tab/>
        </w:r>
        <w:r w:rsidR="00EE753D" w:rsidRPr="008F3BDC">
          <w:rPr>
            <w:rStyle w:val="Hypertextovprepojenie"/>
            <w:rFonts w:ascii="Arial Narrow" w:hAnsi="Arial Narrow" w:cstheme="minorHAnsi"/>
            <w:b/>
            <w:noProof/>
          </w:rPr>
          <w:t>Predikovanie vplyvu  realizovaných opatrení</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_Toc95761569 \h </w:instrText>
        </w:r>
        <w:r w:rsidR="00EE753D" w:rsidRPr="008F3BDC">
          <w:rPr>
            <w:noProof/>
            <w:webHidden/>
          </w:rPr>
        </w:r>
        <w:r w:rsidR="00EE753D" w:rsidRPr="008F3BDC">
          <w:rPr>
            <w:noProof/>
            <w:webHidden/>
          </w:rPr>
          <w:fldChar w:fldCharType="separate"/>
        </w:r>
        <w:r w:rsidR="00DC11B7">
          <w:rPr>
            <w:noProof/>
            <w:webHidden/>
          </w:rPr>
          <w:t>5</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70" w:history="1">
        <w:r w:rsidR="00EE753D" w:rsidRPr="008F3BDC">
          <w:rPr>
            <w:rStyle w:val="Hypertextovprepojenie"/>
            <w:rFonts w:ascii="Arial Narrow" w:hAnsi="Arial Narrow" w:cstheme="minorHAnsi"/>
            <w:b/>
            <w:noProof/>
          </w:rPr>
          <w:t>5.</w:t>
        </w:r>
        <w:r w:rsidR="00EE753D" w:rsidRPr="008F3BDC">
          <w:rPr>
            <w:noProof/>
          </w:rPr>
          <w:tab/>
        </w:r>
        <w:r w:rsidR="00EE753D" w:rsidRPr="008F3BDC">
          <w:rPr>
            <w:rStyle w:val="Hypertextovprepojenie"/>
            <w:rFonts w:ascii="Arial Narrow" w:hAnsi="Arial Narrow" w:cstheme="minorHAnsi"/>
            <w:b/>
            <w:noProof/>
          </w:rPr>
          <w:t>Metodika výpočtu</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_Toc95761570 \h </w:instrText>
        </w:r>
        <w:r w:rsidR="00EE753D" w:rsidRPr="008F3BDC">
          <w:rPr>
            <w:noProof/>
            <w:webHidden/>
          </w:rPr>
        </w:r>
        <w:r w:rsidR="00EE753D" w:rsidRPr="008F3BDC">
          <w:rPr>
            <w:noProof/>
            <w:webHidden/>
          </w:rPr>
          <w:fldChar w:fldCharType="separate"/>
        </w:r>
        <w:r w:rsidR="00DC11B7">
          <w:rPr>
            <w:noProof/>
            <w:webHidden/>
          </w:rPr>
          <w:t>5</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71" w:history="1">
        <w:r w:rsidR="00EE753D" w:rsidRPr="008F3BDC">
          <w:rPr>
            <w:rStyle w:val="Hypertextovprepojenie"/>
            <w:rFonts w:ascii="Arial Narrow" w:hAnsi="Arial Narrow" w:cstheme="minorHAnsi"/>
            <w:b/>
            <w:noProof/>
          </w:rPr>
          <w:t>6.</w:t>
        </w:r>
        <w:r w:rsidR="00EE753D" w:rsidRPr="008F3BDC">
          <w:rPr>
            <w:noProof/>
          </w:rPr>
          <w:tab/>
        </w:r>
        <w:r w:rsidR="00EE753D" w:rsidRPr="008F3BDC">
          <w:rPr>
            <w:rStyle w:val="Hypertextovprepojenie"/>
            <w:rFonts w:ascii="Arial Narrow" w:hAnsi="Arial Narrow" w:cstheme="minorHAnsi"/>
            <w:b/>
            <w:noProof/>
          </w:rPr>
          <w:t>Východisková hodnota a spôsob výpočtu hodnôt</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_Toc95761571 \h </w:instrText>
        </w:r>
        <w:r w:rsidR="00EE753D" w:rsidRPr="008F3BDC">
          <w:rPr>
            <w:noProof/>
            <w:webHidden/>
          </w:rPr>
        </w:r>
        <w:r w:rsidR="00EE753D" w:rsidRPr="008F3BDC">
          <w:rPr>
            <w:noProof/>
            <w:webHidden/>
          </w:rPr>
          <w:fldChar w:fldCharType="separate"/>
        </w:r>
        <w:r w:rsidR="00DC11B7">
          <w:rPr>
            <w:noProof/>
            <w:webHidden/>
          </w:rPr>
          <w:t>6</w:t>
        </w:r>
        <w:r w:rsidR="00EE753D" w:rsidRPr="008F3BDC">
          <w:rPr>
            <w:noProof/>
            <w:webHidden/>
          </w:rPr>
          <w:fldChar w:fldCharType="end"/>
        </w:r>
      </w:hyperlink>
    </w:p>
    <w:p w:rsidR="00EE753D" w:rsidRPr="008F3BDC" w:rsidRDefault="00C84894">
      <w:pPr>
        <w:pStyle w:val="Obsah1"/>
        <w:tabs>
          <w:tab w:val="left" w:pos="440"/>
          <w:tab w:val="right" w:leader="dot" w:pos="9062"/>
        </w:tabs>
        <w:rPr>
          <w:noProof/>
        </w:rPr>
      </w:pPr>
      <w:hyperlink w:anchor="_Toc95761572" w:history="1">
        <w:r w:rsidR="00EE753D" w:rsidRPr="008F3BDC">
          <w:rPr>
            <w:rStyle w:val="Hypertextovprepojenie"/>
            <w:rFonts w:ascii="Arial Narrow" w:hAnsi="Arial Narrow" w:cstheme="minorHAnsi"/>
            <w:noProof/>
          </w:rPr>
          <w:t>7.</w:t>
        </w:r>
        <w:r w:rsidR="00EE753D" w:rsidRPr="008F3BDC">
          <w:rPr>
            <w:noProof/>
          </w:rPr>
          <w:tab/>
        </w:r>
        <w:r w:rsidR="00EE753D" w:rsidRPr="008F3BDC">
          <w:rPr>
            <w:rStyle w:val="Hypertextovprepojenie"/>
            <w:rFonts w:ascii="Arial Narrow" w:hAnsi="Arial Narrow" w:cstheme="minorHAnsi"/>
            <w:b/>
            <w:noProof/>
          </w:rPr>
          <w:t>Zoznam spoločných ukazovateľov</w:t>
        </w:r>
        <w:r w:rsidR="00EE753D" w:rsidRPr="008F3BDC">
          <w:rPr>
            <w:noProof/>
            <w:webHidden/>
          </w:rPr>
          <w:tab/>
        </w:r>
        <w:r w:rsidR="00EE753D" w:rsidRPr="008F3BDC">
          <w:rPr>
            <w:noProof/>
            <w:webHidden/>
          </w:rPr>
          <w:fldChar w:fldCharType="begin"/>
        </w:r>
        <w:r w:rsidR="00EE753D" w:rsidRPr="008F3BDC">
          <w:rPr>
            <w:noProof/>
            <w:webHidden/>
          </w:rPr>
          <w:instrText xml:space="preserve"> PAGEREF _Toc95761572 \h </w:instrText>
        </w:r>
        <w:r w:rsidR="00EE753D" w:rsidRPr="008F3BDC">
          <w:rPr>
            <w:noProof/>
            <w:webHidden/>
          </w:rPr>
        </w:r>
        <w:r w:rsidR="00EE753D" w:rsidRPr="008F3BDC">
          <w:rPr>
            <w:noProof/>
            <w:webHidden/>
          </w:rPr>
          <w:fldChar w:fldCharType="separate"/>
        </w:r>
        <w:r w:rsidR="00DC11B7">
          <w:rPr>
            <w:noProof/>
            <w:webHidden/>
          </w:rPr>
          <w:t>6</w:t>
        </w:r>
        <w:r w:rsidR="00EE753D" w:rsidRPr="008F3BDC">
          <w:rPr>
            <w:noProof/>
            <w:webHidden/>
          </w:rPr>
          <w:fldChar w:fldCharType="end"/>
        </w:r>
      </w:hyperlink>
    </w:p>
    <w:p w:rsidR="00EE753D" w:rsidRPr="008F3BDC" w:rsidRDefault="00EE753D">
      <w:pPr>
        <w:rPr>
          <w:rStyle w:val="Nadpis1Char"/>
          <w:rFonts w:ascii="Arial Narrow" w:hAnsi="Arial Narrow" w:cstheme="minorHAnsi"/>
          <w:b/>
          <w:color w:val="5B9BD5" w:themeColor="accent1"/>
          <w:sz w:val="22"/>
          <w:szCs w:val="22"/>
        </w:rPr>
      </w:pPr>
      <w:r w:rsidRPr="008F3BDC">
        <w:rPr>
          <w:rStyle w:val="Nadpis1Char"/>
          <w:rFonts w:ascii="Arial Narrow" w:hAnsi="Arial Narrow" w:cstheme="minorHAnsi"/>
          <w:b/>
          <w:color w:val="5B9BD5" w:themeColor="accent1"/>
          <w:sz w:val="22"/>
          <w:szCs w:val="22"/>
        </w:rPr>
        <w:fldChar w:fldCharType="end"/>
      </w: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EE753D" w:rsidRPr="008F3BDC" w:rsidRDefault="00EE753D">
      <w:pPr>
        <w:rPr>
          <w:rStyle w:val="Nadpis1Char"/>
          <w:rFonts w:ascii="Arial Narrow" w:hAnsi="Arial Narrow" w:cstheme="minorHAnsi"/>
          <w:b/>
          <w:color w:val="5B9BD5" w:themeColor="accent1"/>
          <w:sz w:val="22"/>
          <w:szCs w:val="22"/>
        </w:rPr>
      </w:pPr>
    </w:p>
    <w:p w:rsidR="00BC2B2F" w:rsidRPr="008F3BDC" w:rsidRDefault="00C37D49" w:rsidP="0002197E">
      <w:pPr>
        <w:pStyle w:val="Odsekzoznamu"/>
        <w:numPr>
          <w:ilvl w:val="0"/>
          <w:numId w:val="18"/>
        </w:numPr>
        <w:spacing w:before="480" w:after="240"/>
        <w:ind w:left="714" w:hanging="357"/>
        <w:rPr>
          <w:rStyle w:val="Nadpis1Char"/>
          <w:rFonts w:ascii="Arial Narrow" w:hAnsi="Arial Narrow" w:cstheme="minorHAnsi"/>
          <w:b/>
          <w:color w:val="5B9BD5" w:themeColor="accent1"/>
          <w:sz w:val="24"/>
          <w:szCs w:val="24"/>
        </w:rPr>
      </w:pPr>
      <w:bookmarkStart w:id="6" w:name="_Toc95761566"/>
      <w:bookmarkEnd w:id="4"/>
      <w:bookmarkEnd w:id="5"/>
      <w:r w:rsidRPr="008F3BDC">
        <w:rPr>
          <w:rStyle w:val="Nadpis1Char"/>
          <w:rFonts w:ascii="Arial Narrow" w:hAnsi="Arial Narrow" w:cstheme="minorHAnsi"/>
          <w:b/>
          <w:color w:val="5B9BD5" w:themeColor="accent1"/>
          <w:sz w:val="24"/>
          <w:szCs w:val="24"/>
        </w:rPr>
        <w:lastRenderedPageBreak/>
        <w:t>Úvod</w:t>
      </w:r>
      <w:bookmarkEnd w:id="6"/>
    </w:p>
    <w:p w:rsidR="001C327A" w:rsidRPr="008F3BDC" w:rsidRDefault="00103DD2" w:rsidP="00BE2650">
      <w:pPr>
        <w:spacing w:after="120"/>
        <w:jc w:val="both"/>
        <w:rPr>
          <w:rFonts w:ascii="Arial Narrow" w:hAnsi="Arial Narrow" w:cstheme="minorHAnsi"/>
        </w:rPr>
      </w:pPr>
      <w:r w:rsidRPr="008F3BDC">
        <w:rPr>
          <w:rFonts w:ascii="Arial Narrow" w:hAnsi="Arial Narrow" w:cstheme="minorHAnsi"/>
        </w:rPr>
        <w:t xml:space="preserve">Cieľom </w:t>
      </w:r>
      <w:r w:rsidR="001C327A" w:rsidRPr="008F3BDC">
        <w:rPr>
          <w:rFonts w:ascii="Arial Narrow" w:hAnsi="Arial Narrow" w:cstheme="minorHAnsi"/>
        </w:rPr>
        <w:t xml:space="preserve">tohto </w:t>
      </w:r>
      <w:r w:rsidRPr="008F3BDC">
        <w:rPr>
          <w:rFonts w:ascii="Arial Narrow" w:hAnsi="Arial Narrow" w:cstheme="minorHAnsi"/>
        </w:rPr>
        <w:t>metodického usmernenia</w:t>
      </w:r>
      <w:r w:rsidR="001C327A" w:rsidRPr="008F3BDC">
        <w:rPr>
          <w:rFonts w:ascii="Arial Narrow" w:hAnsi="Arial Narrow" w:cstheme="minorHAnsi"/>
        </w:rPr>
        <w:t xml:space="preserve"> (MU)</w:t>
      </w:r>
      <w:r w:rsidRPr="008F3BDC">
        <w:rPr>
          <w:rFonts w:ascii="Arial Narrow" w:hAnsi="Arial Narrow" w:cstheme="minorHAnsi"/>
        </w:rPr>
        <w:t xml:space="preserve"> je </w:t>
      </w:r>
      <w:r w:rsidR="00077C84" w:rsidRPr="008F3BDC">
        <w:rPr>
          <w:rFonts w:ascii="Arial Narrow" w:hAnsi="Arial Narrow" w:cstheme="minorHAnsi"/>
        </w:rPr>
        <w:t>zadefinovať základné</w:t>
      </w:r>
      <w:r w:rsidRPr="008F3BDC">
        <w:rPr>
          <w:rFonts w:ascii="Arial Narrow" w:hAnsi="Arial Narrow" w:cstheme="minorHAnsi"/>
        </w:rPr>
        <w:t xml:space="preserve"> pravidlá </w:t>
      </w:r>
      <w:r w:rsidR="0013613B" w:rsidRPr="008F3BDC">
        <w:rPr>
          <w:rFonts w:ascii="Arial Narrow" w:hAnsi="Arial Narrow" w:cstheme="minorHAnsi"/>
        </w:rPr>
        <w:t xml:space="preserve">pre </w:t>
      </w:r>
      <w:r w:rsidRPr="008F3BDC">
        <w:rPr>
          <w:rFonts w:ascii="Arial Narrow" w:hAnsi="Arial Narrow" w:cstheme="minorHAnsi"/>
        </w:rPr>
        <w:t>vykazovani</w:t>
      </w:r>
      <w:r w:rsidR="0013613B" w:rsidRPr="008F3BDC">
        <w:rPr>
          <w:rFonts w:ascii="Arial Narrow" w:hAnsi="Arial Narrow" w:cstheme="minorHAnsi"/>
        </w:rPr>
        <w:t>e</w:t>
      </w:r>
      <w:r w:rsidRPr="008F3BDC">
        <w:rPr>
          <w:rFonts w:ascii="Arial Narrow" w:hAnsi="Arial Narrow" w:cstheme="minorHAnsi"/>
        </w:rPr>
        <w:t xml:space="preserve"> spoločných ukazovateľov</w:t>
      </w:r>
      <w:r w:rsidR="0086722D" w:rsidRPr="008F3BDC">
        <w:rPr>
          <w:rFonts w:ascii="Arial Narrow" w:hAnsi="Arial Narrow" w:cstheme="minorHAnsi"/>
        </w:rPr>
        <w:t xml:space="preserve">, </w:t>
      </w:r>
      <w:r w:rsidR="0013613B" w:rsidRPr="008F3BDC">
        <w:rPr>
          <w:rFonts w:ascii="Arial Narrow" w:hAnsi="Arial Narrow" w:cstheme="minorHAnsi"/>
        </w:rPr>
        <w:t xml:space="preserve">a to </w:t>
      </w:r>
      <w:r w:rsidR="001A726B" w:rsidRPr="008F3BDC">
        <w:rPr>
          <w:rFonts w:ascii="Arial Narrow" w:hAnsi="Arial Narrow" w:cstheme="minorHAnsi"/>
        </w:rPr>
        <w:t>v</w:t>
      </w:r>
      <w:r w:rsidRPr="008F3BDC">
        <w:rPr>
          <w:rFonts w:ascii="Arial Narrow" w:hAnsi="Arial Narrow" w:cstheme="minorHAnsi"/>
        </w:rPr>
        <w:t> súlade s</w:t>
      </w:r>
      <w:r w:rsidR="00EE3B38" w:rsidRPr="008F3BDC">
        <w:rPr>
          <w:rFonts w:ascii="Arial Narrow" w:hAnsi="Arial Narrow" w:cstheme="minorHAnsi"/>
        </w:rPr>
        <w:t> </w:t>
      </w:r>
      <w:r w:rsidR="001C327A" w:rsidRPr="008F3BDC">
        <w:rPr>
          <w:rFonts w:ascii="Arial Narrow" w:hAnsi="Arial Narrow" w:cstheme="minorHAnsi"/>
        </w:rPr>
        <w:t>d</w:t>
      </w:r>
      <w:r w:rsidR="00EE3B38" w:rsidRPr="008F3BDC">
        <w:rPr>
          <w:rFonts w:ascii="Arial Narrow" w:hAnsi="Arial Narrow" w:cstheme="minorHAnsi"/>
        </w:rPr>
        <w:t xml:space="preserve">elegovaným </w:t>
      </w:r>
      <w:r w:rsidR="00C534EA" w:rsidRPr="008F3BDC">
        <w:rPr>
          <w:rFonts w:ascii="Arial Narrow" w:hAnsi="Arial Narrow" w:cstheme="minorHAnsi"/>
        </w:rPr>
        <w:t>aktom K</w:t>
      </w:r>
      <w:r w:rsidR="00EE3B38" w:rsidRPr="008F3BDC">
        <w:rPr>
          <w:rFonts w:ascii="Arial Narrow" w:hAnsi="Arial Narrow" w:cstheme="minorHAnsi"/>
        </w:rPr>
        <w:t xml:space="preserve">omisie (EÚ) </w:t>
      </w:r>
      <w:r w:rsidR="00C534EA" w:rsidRPr="008F3BDC">
        <w:rPr>
          <w:rFonts w:ascii="Arial Narrow" w:hAnsi="Arial Narrow" w:cstheme="minorHAnsi"/>
        </w:rPr>
        <w:t xml:space="preserve">č. </w:t>
      </w:r>
      <w:r w:rsidR="00EE3B38" w:rsidRPr="008F3BDC">
        <w:rPr>
          <w:rFonts w:ascii="Arial Narrow" w:hAnsi="Arial Narrow" w:cstheme="minorHAnsi"/>
        </w:rPr>
        <w:t>2021/2106</w:t>
      </w:r>
      <w:r w:rsidR="00813F69" w:rsidRPr="008F3BDC">
        <w:rPr>
          <w:rFonts w:ascii="Arial Narrow" w:hAnsi="Arial Narrow" w:cstheme="minorHAnsi"/>
        </w:rPr>
        <w:t>, ktorým sa dopĺňa</w:t>
      </w:r>
      <w:r w:rsidR="001C327A" w:rsidRPr="008F3BDC">
        <w:rPr>
          <w:rFonts w:ascii="Arial Narrow" w:hAnsi="Arial Narrow" w:cstheme="minorHAnsi"/>
        </w:rPr>
        <w:t xml:space="preserve"> n</w:t>
      </w:r>
      <w:r w:rsidR="00813F69" w:rsidRPr="008F3BDC">
        <w:rPr>
          <w:rFonts w:ascii="Arial Narrow" w:hAnsi="Arial Narrow" w:cstheme="minorHAnsi"/>
        </w:rPr>
        <w:t>ariadenie (EÚ) č. 2021/241 Európs</w:t>
      </w:r>
      <w:r w:rsidR="00D00729" w:rsidRPr="008F3BDC">
        <w:rPr>
          <w:rFonts w:ascii="Arial Narrow" w:hAnsi="Arial Narrow" w:cstheme="minorHAnsi"/>
        </w:rPr>
        <w:t>k</w:t>
      </w:r>
      <w:r w:rsidR="00813F69" w:rsidRPr="008F3BDC">
        <w:rPr>
          <w:rFonts w:ascii="Arial Narrow" w:hAnsi="Arial Narrow" w:cstheme="minorHAnsi"/>
        </w:rPr>
        <w:t>e</w:t>
      </w:r>
      <w:r w:rsidR="00D00729" w:rsidRPr="008F3BDC">
        <w:rPr>
          <w:rFonts w:ascii="Arial Narrow" w:hAnsi="Arial Narrow" w:cstheme="minorHAnsi"/>
        </w:rPr>
        <w:t>h</w:t>
      </w:r>
      <w:r w:rsidR="00813F69" w:rsidRPr="008F3BDC">
        <w:rPr>
          <w:rFonts w:ascii="Arial Narrow" w:hAnsi="Arial Narrow" w:cstheme="minorHAnsi"/>
        </w:rPr>
        <w:t>o parlamentu a</w:t>
      </w:r>
      <w:r w:rsidR="0011288B" w:rsidRPr="008F3BDC">
        <w:rPr>
          <w:rFonts w:ascii="Arial Narrow" w:hAnsi="Arial Narrow" w:cstheme="minorHAnsi"/>
        </w:rPr>
        <w:t> </w:t>
      </w:r>
      <w:r w:rsidR="00813F69" w:rsidRPr="008F3BDC">
        <w:rPr>
          <w:rFonts w:ascii="Arial Narrow" w:hAnsi="Arial Narrow" w:cstheme="minorHAnsi"/>
        </w:rPr>
        <w:t>Rady</w:t>
      </w:r>
      <w:r w:rsidR="0011288B" w:rsidRPr="008F3BDC">
        <w:rPr>
          <w:rFonts w:ascii="Arial Narrow" w:hAnsi="Arial Narrow" w:cstheme="minorHAnsi"/>
        </w:rPr>
        <w:t>, ktorým sa zriaďuje Mechanizmus na podporu obnovy a odolnosti</w:t>
      </w:r>
      <w:r w:rsidR="001A726B" w:rsidRPr="008F3BDC">
        <w:rPr>
          <w:rFonts w:ascii="Arial Narrow" w:hAnsi="Arial Narrow" w:cstheme="minorHAnsi"/>
        </w:rPr>
        <w:t xml:space="preserve">. </w:t>
      </w:r>
    </w:p>
    <w:p w:rsidR="00117CA5" w:rsidRPr="008F3BDC" w:rsidRDefault="001C327A" w:rsidP="00BE2650">
      <w:pPr>
        <w:spacing w:after="120"/>
        <w:jc w:val="both"/>
        <w:rPr>
          <w:rFonts w:ascii="Arial Narrow" w:hAnsi="Arial Narrow" w:cstheme="minorHAnsi"/>
        </w:rPr>
      </w:pPr>
      <w:r w:rsidRPr="008F3BDC">
        <w:rPr>
          <w:rFonts w:ascii="Arial Narrow" w:hAnsi="Arial Narrow" w:cstheme="minorHAnsi"/>
        </w:rPr>
        <w:t xml:space="preserve">Podľa čl. </w:t>
      </w:r>
      <w:r w:rsidR="00D00729" w:rsidRPr="008F3BDC">
        <w:rPr>
          <w:rFonts w:ascii="Arial Narrow" w:hAnsi="Arial Narrow" w:cstheme="minorHAnsi"/>
        </w:rPr>
        <w:t xml:space="preserve">29 </w:t>
      </w:r>
      <w:r w:rsidRPr="008F3BDC">
        <w:rPr>
          <w:rFonts w:ascii="Arial Narrow" w:hAnsi="Arial Narrow" w:cstheme="minorHAnsi"/>
        </w:rPr>
        <w:t>n</w:t>
      </w:r>
      <w:r w:rsidR="00BE2650" w:rsidRPr="008F3BDC">
        <w:rPr>
          <w:rFonts w:ascii="Arial Narrow" w:hAnsi="Arial Narrow" w:cstheme="minorHAnsi"/>
        </w:rPr>
        <w:t xml:space="preserve">ariadenia </w:t>
      </w:r>
      <w:r w:rsidRPr="008F3BDC">
        <w:rPr>
          <w:rFonts w:ascii="Arial Narrow" w:hAnsi="Arial Narrow" w:cstheme="minorHAnsi"/>
        </w:rPr>
        <w:t xml:space="preserve">(EÚ) 2021/241 </w:t>
      </w:r>
      <w:r w:rsidR="00A93E4F" w:rsidRPr="008F3BDC">
        <w:rPr>
          <w:rFonts w:ascii="Arial Narrow" w:hAnsi="Arial Narrow" w:cstheme="minorHAnsi"/>
        </w:rPr>
        <w:t>je potrebné zabezpečiť monitorovanie a hodnotenie implementácie M</w:t>
      </w:r>
      <w:r w:rsidR="00BE2650" w:rsidRPr="008F3BDC">
        <w:rPr>
          <w:rFonts w:ascii="Arial Narrow" w:hAnsi="Arial Narrow" w:cstheme="minorHAnsi"/>
        </w:rPr>
        <w:t xml:space="preserve">echanizmu </w:t>
      </w:r>
      <w:r w:rsidRPr="008F3BDC">
        <w:rPr>
          <w:rFonts w:ascii="Arial Narrow" w:hAnsi="Arial Narrow" w:cstheme="minorHAnsi"/>
        </w:rPr>
        <w:t xml:space="preserve">na </w:t>
      </w:r>
      <w:proofErr w:type="spellStart"/>
      <w:r w:rsidRPr="008F3BDC">
        <w:rPr>
          <w:rFonts w:ascii="Arial Narrow" w:hAnsi="Arial Narrow" w:cstheme="minorHAnsi"/>
        </w:rPr>
        <w:t>podpru</w:t>
      </w:r>
      <w:proofErr w:type="spellEnd"/>
      <w:r w:rsidRPr="008F3BDC">
        <w:rPr>
          <w:rFonts w:ascii="Arial Narrow" w:hAnsi="Arial Narrow" w:cstheme="minorHAnsi"/>
        </w:rPr>
        <w:t xml:space="preserve"> obnovy a odolnosti (ďalej len „Mechanizmus“) </w:t>
      </w:r>
      <w:r w:rsidR="00BE2650" w:rsidRPr="008F3BDC">
        <w:rPr>
          <w:rFonts w:ascii="Arial Narrow" w:hAnsi="Arial Narrow" w:cstheme="minorHAnsi"/>
        </w:rPr>
        <w:t>prostredníctvom spoločných ukazovateľov</w:t>
      </w:r>
      <w:r w:rsidR="00BD3E67" w:rsidRPr="008F3BDC">
        <w:rPr>
          <w:rStyle w:val="Odkaznapoznmkupodiarou"/>
          <w:rFonts w:ascii="Arial Narrow" w:hAnsi="Arial Narrow" w:cstheme="minorHAnsi"/>
        </w:rPr>
        <w:footnoteReference w:id="1"/>
      </w:r>
      <w:r w:rsidR="00BE2650" w:rsidRPr="008F3BDC">
        <w:rPr>
          <w:rFonts w:ascii="Arial Narrow" w:hAnsi="Arial Narrow" w:cstheme="minorHAnsi"/>
        </w:rPr>
        <w:t xml:space="preserve">. Tieto ukazovatele sa majú používať </w:t>
      </w:r>
      <w:r w:rsidR="001A726B" w:rsidRPr="008F3BDC">
        <w:rPr>
          <w:rFonts w:ascii="Arial Narrow" w:hAnsi="Arial Narrow" w:cstheme="minorHAnsi"/>
        </w:rPr>
        <w:t>za účelom</w:t>
      </w:r>
      <w:r w:rsidR="00BE2650" w:rsidRPr="008F3BDC">
        <w:rPr>
          <w:rFonts w:ascii="Arial Narrow" w:hAnsi="Arial Narrow" w:cstheme="minorHAnsi"/>
        </w:rPr>
        <w:t xml:space="preserve"> podávani</w:t>
      </w:r>
      <w:r w:rsidR="001A726B" w:rsidRPr="008F3BDC">
        <w:rPr>
          <w:rFonts w:ascii="Arial Narrow" w:hAnsi="Arial Narrow" w:cstheme="minorHAnsi"/>
        </w:rPr>
        <w:t>a</w:t>
      </w:r>
      <w:r w:rsidR="00BE2650" w:rsidRPr="008F3BDC">
        <w:rPr>
          <w:rFonts w:ascii="Arial Narrow" w:hAnsi="Arial Narrow" w:cstheme="minorHAnsi"/>
        </w:rPr>
        <w:t xml:space="preserve"> správ o pokroku</w:t>
      </w:r>
      <w:r w:rsidR="001A726B" w:rsidRPr="008F3BDC">
        <w:rPr>
          <w:rFonts w:ascii="Arial Narrow" w:hAnsi="Arial Narrow" w:cstheme="minorHAnsi"/>
        </w:rPr>
        <w:t xml:space="preserve">, </w:t>
      </w:r>
      <w:r w:rsidR="00BE2650" w:rsidRPr="008F3BDC">
        <w:rPr>
          <w:rFonts w:ascii="Arial Narrow" w:hAnsi="Arial Narrow" w:cstheme="minorHAnsi"/>
        </w:rPr>
        <w:t xml:space="preserve">monitorovania a hodnotenia </w:t>
      </w:r>
      <w:r w:rsidR="001A726B" w:rsidRPr="008F3BDC">
        <w:rPr>
          <w:rFonts w:ascii="Arial Narrow" w:hAnsi="Arial Narrow" w:cstheme="minorHAnsi"/>
        </w:rPr>
        <w:t>M</w:t>
      </w:r>
      <w:r w:rsidR="00BE2650" w:rsidRPr="008F3BDC">
        <w:rPr>
          <w:rFonts w:ascii="Arial Narrow" w:hAnsi="Arial Narrow" w:cstheme="minorHAnsi"/>
        </w:rPr>
        <w:t xml:space="preserve">echanizmu, </w:t>
      </w:r>
      <w:r w:rsidR="001A726B" w:rsidRPr="008F3BDC">
        <w:rPr>
          <w:rFonts w:ascii="Arial Narrow" w:hAnsi="Arial Narrow" w:cstheme="minorHAnsi"/>
        </w:rPr>
        <w:t xml:space="preserve">a to najmä </w:t>
      </w:r>
      <w:r w:rsidR="00BE2650" w:rsidRPr="008F3BDC">
        <w:rPr>
          <w:rFonts w:ascii="Arial Narrow" w:hAnsi="Arial Narrow" w:cstheme="minorHAnsi"/>
        </w:rPr>
        <w:t>pokiaľ ide o dosahovanie všeobecných cieľov uvedených v</w:t>
      </w:r>
      <w:r w:rsidR="00117CA5" w:rsidRPr="008F3BDC">
        <w:rPr>
          <w:rFonts w:ascii="Arial Narrow" w:hAnsi="Arial Narrow" w:cstheme="minorHAnsi"/>
        </w:rPr>
        <w:t xml:space="preserve"> čl. </w:t>
      </w:r>
      <w:r w:rsidR="00BE2650" w:rsidRPr="008F3BDC">
        <w:rPr>
          <w:rFonts w:ascii="Arial Narrow" w:hAnsi="Arial Narrow" w:cstheme="minorHAnsi"/>
        </w:rPr>
        <w:t xml:space="preserve">4 nariadenia (EÚ) 2021/241. Členské štáty majú </w:t>
      </w:r>
      <w:r w:rsidR="00117CA5" w:rsidRPr="008F3BDC">
        <w:rPr>
          <w:rFonts w:ascii="Arial Narrow" w:hAnsi="Arial Narrow" w:cstheme="minorHAnsi"/>
        </w:rPr>
        <w:t xml:space="preserve">EK </w:t>
      </w:r>
      <w:r w:rsidR="00BE2650" w:rsidRPr="008F3BDC">
        <w:rPr>
          <w:rFonts w:ascii="Arial Narrow" w:hAnsi="Arial Narrow" w:cstheme="minorHAnsi"/>
        </w:rPr>
        <w:t>podávať správy o</w:t>
      </w:r>
      <w:r w:rsidR="0011288B" w:rsidRPr="008F3BDC">
        <w:rPr>
          <w:rFonts w:ascii="Arial Narrow" w:hAnsi="Arial Narrow" w:cstheme="minorHAnsi"/>
        </w:rPr>
        <w:t xml:space="preserve"> plnení </w:t>
      </w:r>
      <w:r w:rsidR="00BE2650" w:rsidRPr="008F3BDC">
        <w:rPr>
          <w:rFonts w:ascii="Arial Narrow" w:hAnsi="Arial Narrow" w:cstheme="minorHAnsi"/>
        </w:rPr>
        <w:t>spoločných ukazovateľo</w:t>
      </w:r>
      <w:r w:rsidR="0011288B" w:rsidRPr="008F3BDC">
        <w:rPr>
          <w:rFonts w:ascii="Arial Narrow" w:hAnsi="Arial Narrow" w:cstheme="minorHAnsi"/>
        </w:rPr>
        <w:t>v</w:t>
      </w:r>
      <w:r w:rsidR="00BE2650" w:rsidRPr="008F3BDC">
        <w:rPr>
          <w:rFonts w:ascii="Arial Narrow" w:hAnsi="Arial Narrow" w:cstheme="minorHAnsi"/>
        </w:rPr>
        <w:t xml:space="preserve">. </w:t>
      </w:r>
    </w:p>
    <w:p w:rsidR="00902FF1" w:rsidRDefault="00103DDB" w:rsidP="00902FF1">
      <w:pPr>
        <w:spacing w:after="120"/>
        <w:jc w:val="both"/>
        <w:rPr>
          <w:rFonts w:ascii="Arial Narrow" w:hAnsi="Arial Narrow" w:cstheme="minorHAnsi"/>
        </w:rPr>
      </w:pPr>
      <w:r w:rsidRPr="008F3BDC">
        <w:rPr>
          <w:rFonts w:ascii="Arial Narrow" w:hAnsi="Arial Narrow" w:cstheme="minorHAnsi"/>
        </w:rPr>
        <w:t xml:space="preserve">Za účelom </w:t>
      </w:r>
      <w:r w:rsidR="00902FF1">
        <w:rPr>
          <w:rFonts w:ascii="Arial Narrow" w:hAnsi="Arial Narrow" w:cstheme="minorHAnsi"/>
        </w:rPr>
        <w:t>sledovania</w:t>
      </w:r>
      <w:r w:rsidR="00902FF1" w:rsidRPr="008F3BDC">
        <w:rPr>
          <w:rFonts w:ascii="Arial Narrow" w:hAnsi="Arial Narrow" w:cstheme="minorHAnsi"/>
        </w:rPr>
        <w:t xml:space="preserve"> </w:t>
      </w:r>
      <w:r w:rsidRPr="008F3BDC">
        <w:rPr>
          <w:rFonts w:ascii="Arial Narrow" w:hAnsi="Arial Narrow" w:cstheme="minorHAnsi"/>
        </w:rPr>
        <w:t xml:space="preserve">pokroku </w:t>
      </w:r>
      <w:r w:rsidR="00902FF1">
        <w:rPr>
          <w:rFonts w:ascii="Arial Narrow" w:hAnsi="Arial Narrow" w:cstheme="minorHAnsi"/>
        </w:rPr>
        <w:t xml:space="preserve"> pri  </w:t>
      </w:r>
      <w:r w:rsidRPr="008F3BDC">
        <w:rPr>
          <w:rFonts w:ascii="Arial Narrow" w:hAnsi="Arial Narrow" w:cstheme="minorHAnsi"/>
        </w:rPr>
        <w:t>realizáci</w:t>
      </w:r>
      <w:r w:rsidR="00902FF1">
        <w:rPr>
          <w:rFonts w:ascii="Arial Narrow" w:hAnsi="Arial Narrow" w:cstheme="minorHAnsi"/>
        </w:rPr>
        <w:t>i</w:t>
      </w:r>
      <w:r w:rsidRPr="008F3BDC">
        <w:rPr>
          <w:rFonts w:ascii="Arial Narrow" w:hAnsi="Arial Narrow" w:cstheme="minorHAnsi"/>
        </w:rPr>
        <w:t xml:space="preserve"> plánov obnovy a odolnosti členských štátov v každom zo šiestich </w:t>
      </w:r>
      <w:proofErr w:type="spellStart"/>
      <w:r w:rsidRPr="008F3BDC">
        <w:rPr>
          <w:rFonts w:ascii="Arial Narrow" w:hAnsi="Arial Narrow" w:cstheme="minorHAnsi"/>
        </w:rPr>
        <w:t>pilierov</w:t>
      </w:r>
      <w:r w:rsidR="00902FF1">
        <w:rPr>
          <w:rFonts w:ascii="Arial Narrow" w:hAnsi="Arial Narrow" w:cstheme="minorHAnsi"/>
        </w:rPr>
        <w:t>,</w:t>
      </w:r>
      <w:r w:rsidRPr="008F3BDC">
        <w:rPr>
          <w:rFonts w:ascii="Arial Narrow" w:hAnsi="Arial Narrow" w:cstheme="minorHAnsi"/>
        </w:rPr>
        <w:t>a</w:t>
      </w:r>
      <w:r w:rsidR="00902FF1">
        <w:rPr>
          <w:rFonts w:ascii="Arial Narrow" w:hAnsi="Arial Narrow" w:cstheme="minorHAnsi"/>
        </w:rPr>
        <w:t>ko</w:t>
      </w:r>
      <w:proofErr w:type="spellEnd"/>
      <w:r w:rsidR="00902FF1">
        <w:rPr>
          <w:rFonts w:ascii="Arial Narrow" w:hAnsi="Arial Narrow" w:cstheme="minorHAnsi"/>
        </w:rPr>
        <w:t xml:space="preserve"> aj za účelom  sledovania pokroku </w:t>
      </w:r>
      <w:r w:rsidRPr="008F3BDC">
        <w:rPr>
          <w:rFonts w:ascii="Arial Narrow" w:hAnsi="Arial Narrow" w:cstheme="minorHAnsi"/>
        </w:rPr>
        <w:t> </w:t>
      </w:r>
      <w:r w:rsidR="00902FF1">
        <w:rPr>
          <w:rFonts w:ascii="Arial Narrow" w:hAnsi="Arial Narrow" w:cstheme="minorHAnsi"/>
        </w:rPr>
        <w:t>v</w:t>
      </w:r>
      <w:r w:rsidRPr="008F3BDC">
        <w:rPr>
          <w:rFonts w:ascii="Arial Narrow" w:hAnsi="Arial Narrow" w:cstheme="minorHAnsi"/>
        </w:rPr>
        <w:t>o vzťahu k spoločným ukazovateľom mechanizmu by</w:t>
      </w:r>
      <w:r w:rsidR="00902FF1">
        <w:rPr>
          <w:rFonts w:ascii="Arial Narrow" w:hAnsi="Arial Narrow" w:cstheme="minorHAnsi"/>
        </w:rPr>
        <w:t xml:space="preserve"> Komisia mala v súlade s čl. 30 ods.1 nariadenia (EÚ) 2021/ 241  </w:t>
      </w:r>
      <w:r w:rsidRPr="008F3BDC">
        <w:rPr>
          <w:rFonts w:ascii="Arial Narrow" w:hAnsi="Arial Narrow" w:cstheme="minorHAnsi"/>
        </w:rPr>
        <w:t>vytvoriť osobitn</w:t>
      </w:r>
      <w:r w:rsidR="00902FF1">
        <w:rPr>
          <w:rFonts w:ascii="Arial Narrow" w:hAnsi="Arial Narrow" w:cstheme="minorHAnsi"/>
        </w:rPr>
        <w:t>ú</w:t>
      </w:r>
      <w:r w:rsidRPr="008F3BDC">
        <w:rPr>
          <w:rFonts w:ascii="Arial Narrow" w:hAnsi="Arial Narrow" w:cstheme="minorHAnsi"/>
        </w:rPr>
        <w:t xml:space="preserve"> hodnotiac</w:t>
      </w:r>
      <w:r w:rsidR="00902FF1">
        <w:rPr>
          <w:rFonts w:ascii="Arial Narrow" w:hAnsi="Arial Narrow" w:cstheme="minorHAnsi"/>
        </w:rPr>
        <w:t>u</w:t>
      </w:r>
      <w:r w:rsidRPr="008F3BDC">
        <w:rPr>
          <w:rFonts w:ascii="Arial Narrow" w:hAnsi="Arial Narrow" w:cstheme="minorHAnsi"/>
        </w:rPr>
        <w:t xml:space="preserve"> tabuľk</w:t>
      </w:r>
      <w:r w:rsidR="00902FF1">
        <w:rPr>
          <w:rFonts w:ascii="Arial Narrow" w:hAnsi="Arial Narrow" w:cstheme="minorHAnsi"/>
        </w:rPr>
        <w:t xml:space="preserve">u, ktorej cieľom je poskytovať </w:t>
      </w:r>
      <w:r w:rsidR="00BE2650" w:rsidRPr="008F3BDC">
        <w:rPr>
          <w:rFonts w:ascii="Arial Narrow" w:hAnsi="Arial Narrow" w:cstheme="minorHAnsi"/>
        </w:rPr>
        <w:t xml:space="preserve"> </w:t>
      </w:r>
      <w:r w:rsidR="001A726B" w:rsidRPr="008F3BDC">
        <w:rPr>
          <w:rFonts w:ascii="Arial Narrow" w:hAnsi="Arial Narrow" w:cstheme="minorHAnsi"/>
        </w:rPr>
        <w:t xml:space="preserve">komplexné </w:t>
      </w:r>
      <w:r w:rsidR="00BE2650" w:rsidRPr="008F3BDC">
        <w:rPr>
          <w:rFonts w:ascii="Arial Narrow" w:hAnsi="Arial Narrow" w:cstheme="minorHAnsi"/>
        </w:rPr>
        <w:t xml:space="preserve">informácie o pokroku pri vykonávaní </w:t>
      </w:r>
      <w:r w:rsidR="001A726B" w:rsidRPr="008F3BDC">
        <w:rPr>
          <w:rFonts w:ascii="Arial Narrow" w:hAnsi="Arial Narrow" w:cstheme="minorHAnsi"/>
        </w:rPr>
        <w:t>M</w:t>
      </w:r>
      <w:r w:rsidR="00BE2650" w:rsidRPr="008F3BDC">
        <w:rPr>
          <w:rFonts w:ascii="Arial Narrow" w:hAnsi="Arial Narrow" w:cstheme="minorHAnsi"/>
        </w:rPr>
        <w:t>echanizmu a</w:t>
      </w:r>
      <w:r w:rsidR="001A726B" w:rsidRPr="008F3BDC">
        <w:rPr>
          <w:rFonts w:ascii="Arial Narrow" w:hAnsi="Arial Narrow" w:cstheme="minorHAnsi"/>
        </w:rPr>
        <w:t xml:space="preserve"> o </w:t>
      </w:r>
      <w:r w:rsidR="00BE2650" w:rsidRPr="008F3BDC">
        <w:rPr>
          <w:rFonts w:ascii="Arial Narrow" w:hAnsi="Arial Narrow" w:cstheme="minorHAnsi"/>
        </w:rPr>
        <w:t>realizácii národných plánov obnovy a</w:t>
      </w:r>
      <w:r w:rsidR="0013613B" w:rsidRPr="008F3BDC">
        <w:rPr>
          <w:rFonts w:ascii="Arial Narrow" w:hAnsi="Arial Narrow" w:cstheme="minorHAnsi"/>
        </w:rPr>
        <w:t> </w:t>
      </w:r>
      <w:r w:rsidR="00BE2650" w:rsidRPr="008F3BDC">
        <w:rPr>
          <w:rFonts w:ascii="Arial Narrow" w:hAnsi="Arial Narrow" w:cstheme="minorHAnsi"/>
        </w:rPr>
        <w:t>odolnosti</w:t>
      </w:r>
      <w:r w:rsidR="0013613B" w:rsidRPr="008F3BDC">
        <w:rPr>
          <w:rFonts w:ascii="Arial Narrow" w:hAnsi="Arial Narrow" w:cstheme="minorHAnsi"/>
        </w:rPr>
        <w:t xml:space="preserve">, </w:t>
      </w:r>
      <w:r w:rsidR="00BE2650" w:rsidRPr="008F3BDC">
        <w:rPr>
          <w:rFonts w:ascii="Arial Narrow" w:hAnsi="Arial Narrow" w:cstheme="minorHAnsi"/>
        </w:rPr>
        <w:t xml:space="preserve"> schválených príslušnými vykonávacími rozhodnutiami Rady. </w:t>
      </w:r>
      <w:bookmarkStart w:id="7" w:name="_Toc95761567"/>
    </w:p>
    <w:p w:rsidR="00902FF1" w:rsidRDefault="00902FF1" w:rsidP="00902FF1">
      <w:pPr>
        <w:spacing w:after="120"/>
        <w:jc w:val="both"/>
        <w:rPr>
          <w:rFonts w:ascii="Arial Narrow" w:hAnsi="Arial Narrow" w:cstheme="minorHAnsi"/>
        </w:rPr>
      </w:pPr>
    </w:p>
    <w:p w:rsidR="00BC2B2F" w:rsidRPr="008F3BDC" w:rsidRDefault="00BC2B2F" w:rsidP="00902FF1">
      <w:pPr>
        <w:spacing w:after="120"/>
        <w:jc w:val="both"/>
        <w:rPr>
          <w:rStyle w:val="Nadpis1Char"/>
          <w:rFonts w:ascii="Arial Narrow" w:hAnsi="Arial Narrow" w:cstheme="minorHAnsi"/>
          <w:b/>
          <w:color w:val="5B9BD5" w:themeColor="accent1"/>
          <w:sz w:val="24"/>
          <w:szCs w:val="24"/>
        </w:rPr>
      </w:pPr>
      <w:r w:rsidRPr="008F3BDC">
        <w:rPr>
          <w:rStyle w:val="Nadpis1Char"/>
          <w:rFonts w:ascii="Arial Narrow" w:hAnsi="Arial Narrow" w:cstheme="minorHAnsi"/>
          <w:b/>
          <w:color w:val="5B9BD5" w:themeColor="accent1"/>
          <w:sz w:val="24"/>
          <w:szCs w:val="24"/>
        </w:rPr>
        <w:t>Všeobecné zásady</w:t>
      </w:r>
      <w:bookmarkEnd w:id="7"/>
    </w:p>
    <w:p w:rsidR="00BD3E67" w:rsidRPr="008F3BDC" w:rsidRDefault="00BD3E67" w:rsidP="00BE2650">
      <w:pPr>
        <w:spacing w:after="120"/>
        <w:jc w:val="both"/>
        <w:rPr>
          <w:rFonts w:ascii="Arial Narrow" w:hAnsi="Arial Narrow" w:cstheme="minorHAnsi"/>
        </w:rPr>
      </w:pPr>
      <w:r w:rsidRPr="008F3BDC">
        <w:rPr>
          <w:rFonts w:ascii="Arial Narrow" w:hAnsi="Arial Narrow" w:cstheme="minorHAnsi"/>
        </w:rPr>
        <w:t xml:space="preserve">Spoločné ukazovatele majú za cieľ sledovať pokrok pri dosahovaní cieľov Mechanizmu v rámci implementácie reforiem a investícií zahrnutých do Plánu obnovy a odolnosti SR. </w:t>
      </w:r>
    </w:p>
    <w:p w:rsidR="002F3F8C" w:rsidRDefault="00117CA5" w:rsidP="00BE2650">
      <w:pPr>
        <w:spacing w:after="120"/>
        <w:jc w:val="both"/>
        <w:rPr>
          <w:rFonts w:ascii="Arial Narrow" w:hAnsi="Arial Narrow" w:cstheme="minorHAnsi"/>
        </w:rPr>
      </w:pPr>
      <w:r w:rsidRPr="008F3BDC">
        <w:rPr>
          <w:rFonts w:ascii="Arial Narrow" w:hAnsi="Arial Narrow" w:cstheme="minorHAnsi"/>
        </w:rPr>
        <w:t>Na základe údajov o implementácii reforiem a investícií Plánu obnovy a odolnosti SR je potrebné zhromažďovať  v</w:t>
      </w:r>
      <w:r w:rsidR="00BE2650" w:rsidRPr="008F3BDC">
        <w:rPr>
          <w:rFonts w:ascii="Arial Narrow" w:hAnsi="Arial Narrow" w:cstheme="minorHAnsi"/>
        </w:rPr>
        <w:t xml:space="preserve">šetky </w:t>
      </w:r>
      <w:r w:rsidR="00C81605" w:rsidRPr="008F3BDC">
        <w:rPr>
          <w:rFonts w:ascii="Arial Narrow" w:hAnsi="Arial Narrow" w:cstheme="minorHAnsi"/>
        </w:rPr>
        <w:t xml:space="preserve">relevantné </w:t>
      </w:r>
      <w:r w:rsidR="00BE2650" w:rsidRPr="008F3BDC">
        <w:rPr>
          <w:rFonts w:ascii="Arial Narrow" w:hAnsi="Arial Narrow" w:cstheme="minorHAnsi"/>
        </w:rPr>
        <w:t xml:space="preserve">údaje </w:t>
      </w:r>
      <w:r w:rsidR="00BC0B77" w:rsidRPr="008F3BDC">
        <w:rPr>
          <w:rFonts w:ascii="Arial Narrow" w:hAnsi="Arial Narrow" w:cstheme="minorHAnsi"/>
        </w:rPr>
        <w:t>o</w:t>
      </w:r>
      <w:r w:rsidR="00BE2650" w:rsidRPr="008F3BDC">
        <w:rPr>
          <w:rFonts w:ascii="Arial Narrow" w:hAnsi="Arial Narrow" w:cstheme="minorHAnsi"/>
        </w:rPr>
        <w:t xml:space="preserve"> spoločn</w:t>
      </w:r>
      <w:r w:rsidR="00BC0B77" w:rsidRPr="008F3BDC">
        <w:rPr>
          <w:rFonts w:ascii="Arial Narrow" w:hAnsi="Arial Narrow" w:cstheme="minorHAnsi"/>
        </w:rPr>
        <w:t>ých</w:t>
      </w:r>
      <w:r w:rsidR="00BE2650" w:rsidRPr="008F3BDC">
        <w:rPr>
          <w:rFonts w:ascii="Arial Narrow" w:hAnsi="Arial Narrow" w:cstheme="minorHAnsi"/>
        </w:rPr>
        <w:t xml:space="preserve"> ukazovate</w:t>
      </w:r>
      <w:r w:rsidR="00BC0B77" w:rsidRPr="008F3BDC">
        <w:rPr>
          <w:rFonts w:ascii="Arial Narrow" w:hAnsi="Arial Narrow" w:cstheme="minorHAnsi"/>
        </w:rPr>
        <w:t>ľoch</w:t>
      </w:r>
      <w:r w:rsidRPr="008F3BDC">
        <w:rPr>
          <w:rFonts w:ascii="Arial Narrow" w:hAnsi="Arial Narrow" w:cstheme="minorHAnsi"/>
        </w:rPr>
        <w:t>.</w:t>
      </w:r>
      <w:r w:rsidR="00BC0B77" w:rsidRPr="008F3BDC">
        <w:rPr>
          <w:rFonts w:ascii="Arial Narrow" w:hAnsi="Arial Narrow" w:cstheme="minorHAnsi"/>
        </w:rPr>
        <w:t xml:space="preserve"> </w:t>
      </w:r>
      <w:r w:rsidR="00C81605" w:rsidRPr="008F3BDC">
        <w:rPr>
          <w:rFonts w:ascii="Arial Narrow" w:hAnsi="Arial Narrow" w:cstheme="minorHAnsi"/>
        </w:rPr>
        <w:t>Tieto ú</w:t>
      </w:r>
      <w:r w:rsidR="00BC0B77" w:rsidRPr="008F3BDC">
        <w:rPr>
          <w:rFonts w:ascii="Arial Narrow" w:hAnsi="Arial Narrow" w:cstheme="minorHAnsi"/>
        </w:rPr>
        <w:t xml:space="preserve">daje je potrebné zhromažďovať </w:t>
      </w:r>
      <w:r w:rsidR="00C81605" w:rsidRPr="008F3BDC">
        <w:rPr>
          <w:rFonts w:ascii="Arial Narrow" w:hAnsi="Arial Narrow" w:cstheme="minorHAnsi"/>
        </w:rPr>
        <w:t xml:space="preserve">v rámci </w:t>
      </w:r>
      <w:r w:rsidR="00BC0B77" w:rsidRPr="008F3BDC">
        <w:rPr>
          <w:rFonts w:ascii="Arial Narrow" w:hAnsi="Arial Narrow" w:cstheme="minorHAnsi"/>
        </w:rPr>
        <w:t xml:space="preserve"> </w:t>
      </w:r>
      <w:r w:rsidR="00BE2650" w:rsidRPr="008F3BDC">
        <w:rPr>
          <w:rFonts w:ascii="Arial Narrow" w:hAnsi="Arial Narrow" w:cstheme="minorHAnsi"/>
        </w:rPr>
        <w:t>všetkých refor</w:t>
      </w:r>
      <w:r w:rsidR="00C81605" w:rsidRPr="008F3BDC">
        <w:rPr>
          <w:rFonts w:ascii="Arial Narrow" w:hAnsi="Arial Narrow" w:cstheme="minorHAnsi"/>
        </w:rPr>
        <w:t>iem</w:t>
      </w:r>
      <w:r w:rsidR="00BE2650" w:rsidRPr="008F3BDC">
        <w:rPr>
          <w:rFonts w:ascii="Arial Narrow" w:hAnsi="Arial Narrow" w:cstheme="minorHAnsi"/>
        </w:rPr>
        <w:t xml:space="preserve"> a</w:t>
      </w:r>
      <w:r w:rsidR="00391AFD" w:rsidRPr="008F3BDC">
        <w:rPr>
          <w:rFonts w:ascii="Arial Narrow" w:hAnsi="Arial Narrow" w:cstheme="minorHAnsi"/>
        </w:rPr>
        <w:t> </w:t>
      </w:r>
      <w:r w:rsidR="00BE2650" w:rsidRPr="008F3BDC">
        <w:rPr>
          <w:rFonts w:ascii="Arial Narrow" w:hAnsi="Arial Narrow" w:cstheme="minorHAnsi"/>
        </w:rPr>
        <w:t>investíci</w:t>
      </w:r>
      <w:r w:rsidR="00C81605" w:rsidRPr="008F3BDC">
        <w:rPr>
          <w:rFonts w:ascii="Arial Narrow" w:hAnsi="Arial Narrow" w:cstheme="minorHAnsi"/>
        </w:rPr>
        <w:t>í</w:t>
      </w:r>
      <w:r w:rsidR="00391AFD" w:rsidRPr="008F3BDC">
        <w:rPr>
          <w:rFonts w:ascii="Arial Narrow" w:hAnsi="Arial Narrow" w:cstheme="minorHAnsi"/>
        </w:rPr>
        <w:t xml:space="preserve"> </w:t>
      </w:r>
      <w:r w:rsidR="00BE2650" w:rsidRPr="008F3BDC">
        <w:rPr>
          <w:rFonts w:ascii="Arial Narrow" w:hAnsi="Arial Narrow" w:cstheme="minorHAnsi"/>
        </w:rPr>
        <w:t xml:space="preserve">zahrnutých do </w:t>
      </w:r>
      <w:r w:rsidRPr="008F3BDC">
        <w:rPr>
          <w:rFonts w:ascii="Arial Narrow" w:hAnsi="Arial Narrow" w:cstheme="minorHAnsi"/>
        </w:rPr>
        <w:t>P</w:t>
      </w:r>
      <w:r w:rsidR="00BE2650" w:rsidRPr="008F3BDC">
        <w:rPr>
          <w:rFonts w:ascii="Arial Narrow" w:hAnsi="Arial Narrow" w:cstheme="minorHAnsi"/>
        </w:rPr>
        <w:t>lán</w:t>
      </w:r>
      <w:r w:rsidRPr="008F3BDC">
        <w:rPr>
          <w:rFonts w:ascii="Arial Narrow" w:hAnsi="Arial Narrow" w:cstheme="minorHAnsi"/>
        </w:rPr>
        <w:t>u</w:t>
      </w:r>
      <w:r w:rsidR="00BE2650" w:rsidRPr="008F3BDC">
        <w:rPr>
          <w:rFonts w:ascii="Arial Narrow" w:hAnsi="Arial Narrow" w:cstheme="minorHAnsi"/>
        </w:rPr>
        <w:t xml:space="preserve"> obnovy a</w:t>
      </w:r>
      <w:r w:rsidRPr="008F3BDC">
        <w:rPr>
          <w:rFonts w:ascii="Arial Narrow" w:hAnsi="Arial Narrow" w:cstheme="minorHAnsi"/>
        </w:rPr>
        <w:t> </w:t>
      </w:r>
      <w:r w:rsidR="00BE2650" w:rsidRPr="008F3BDC">
        <w:rPr>
          <w:rFonts w:ascii="Arial Narrow" w:hAnsi="Arial Narrow" w:cstheme="minorHAnsi"/>
        </w:rPr>
        <w:t>odolnosti</w:t>
      </w:r>
      <w:r w:rsidRPr="008F3BDC">
        <w:rPr>
          <w:rFonts w:ascii="Arial Narrow" w:hAnsi="Arial Narrow" w:cstheme="minorHAnsi"/>
        </w:rPr>
        <w:t xml:space="preserve"> SR</w:t>
      </w:r>
      <w:r w:rsidR="00391AFD" w:rsidRPr="008F3BDC">
        <w:rPr>
          <w:rFonts w:ascii="Arial Narrow" w:hAnsi="Arial Narrow" w:cstheme="minorHAnsi"/>
        </w:rPr>
        <w:t xml:space="preserve">, a to </w:t>
      </w:r>
      <w:r w:rsidR="00BE2650" w:rsidRPr="008F3BDC">
        <w:rPr>
          <w:rFonts w:ascii="Arial Narrow" w:hAnsi="Arial Narrow" w:cstheme="minorHAnsi"/>
        </w:rPr>
        <w:t>bez ohľadu na to, či sú</w:t>
      </w:r>
      <w:r w:rsidR="00391AFD" w:rsidRPr="008F3BDC">
        <w:rPr>
          <w:rFonts w:ascii="Arial Narrow" w:hAnsi="Arial Narrow" w:cstheme="minorHAnsi"/>
        </w:rPr>
        <w:t xml:space="preserve"> </w:t>
      </w:r>
      <w:r w:rsidR="00C81605" w:rsidRPr="008F3BDC">
        <w:rPr>
          <w:rFonts w:ascii="Arial Narrow" w:hAnsi="Arial Narrow" w:cstheme="minorHAnsi"/>
        </w:rPr>
        <w:t xml:space="preserve">tieto reformy investície </w:t>
      </w:r>
      <w:r w:rsidR="00391AFD" w:rsidRPr="008F3BDC">
        <w:rPr>
          <w:rFonts w:ascii="Arial Narrow" w:hAnsi="Arial Narrow" w:cstheme="minorHAnsi"/>
        </w:rPr>
        <w:t>z </w:t>
      </w:r>
      <w:r w:rsidRPr="008F3BDC">
        <w:rPr>
          <w:rFonts w:ascii="Arial Narrow" w:hAnsi="Arial Narrow" w:cstheme="minorHAnsi"/>
        </w:rPr>
        <w:t xml:space="preserve">Mechanizmu </w:t>
      </w:r>
      <w:r w:rsidR="00BE2650" w:rsidRPr="008F3BDC">
        <w:rPr>
          <w:rFonts w:ascii="Arial Narrow" w:hAnsi="Arial Narrow" w:cstheme="minorHAnsi"/>
        </w:rPr>
        <w:t xml:space="preserve">financované </w:t>
      </w:r>
      <w:r w:rsidR="00391AFD" w:rsidRPr="008F3BDC">
        <w:rPr>
          <w:rFonts w:ascii="Arial Narrow" w:hAnsi="Arial Narrow" w:cstheme="minorHAnsi"/>
        </w:rPr>
        <w:t>úplne, alebo len čiastočne</w:t>
      </w:r>
      <w:r w:rsidR="00C81605" w:rsidRPr="008F3BDC">
        <w:rPr>
          <w:rFonts w:ascii="Arial Narrow" w:hAnsi="Arial Narrow" w:cstheme="minorHAnsi"/>
        </w:rPr>
        <w:t xml:space="preserve">. </w:t>
      </w:r>
    </w:p>
    <w:p w:rsidR="00BE2650" w:rsidRPr="008F3BDC" w:rsidRDefault="00962F72" w:rsidP="00BE2650">
      <w:pPr>
        <w:spacing w:after="120"/>
        <w:jc w:val="both"/>
        <w:rPr>
          <w:rFonts w:ascii="Arial Narrow" w:hAnsi="Arial Narrow" w:cstheme="minorHAnsi"/>
        </w:rPr>
      </w:pPr>
      <w:r>
        <w:rPr>
          <w:rFonts w:ascii="Arial Narrow" w:hAnsi="Arial Narrow" w:cstheme="minorHAnsi"/>
        </w:rPr>
        <w:t xml:space="preserve">Ak opatrenia realizované v rámci </w:t>
      </w:r>
      <w:r w:rsidR="002F3F8C" w:rsidRPr="008F3BDC">
        <w:rPr>
          <w:rFonts w:ascii="Arial Narrow" w:hAnsi="Arial Narrow" w:cstheme="minorHAnsi"/>
        </w:rPr>
        <w:t>Plánu obnovy a odolnosti SR</w:t>
      </w:r>
      <w:r w:rsidR="002F3F8C" w:rsidDel="002F3F8C">
        <w:rPr>
          <w:rFonts w:ascii="Arial Narrow" w:hAnsi="Arial Narrow" w:cstheme="minorHAnsi"/>
        </w:rPr>
        <w:t xml:space="preserve"> </w:t>
      </w:r>
      <w:r>
        <w:rPr>
          <w:rFonts w:ascii="Arial Narrow" w:hAnsi="Arial Narrow" w:cstheme="minorHAnsi"/>
        </w:rPr>
        <w:t xml:space="preserve">budú prispievať k plneniu </w:t>
      </w:r>
      <w:r w:rsidR="002F3F8C">
        <w:rPr>
          <w:rFonts w:ascii="Arial Narrow" w:hAnsi="Arial Narrow" w:cstheme="minorHAnsi"/>
        </w:rPr>
        <w:t xml:space="preserve">jedného alebo viacerých </w:t>
      </w:r>
      <w:r>
        <w:rPr>
          <w:rFonts w:ascii="Arial Narrow" w:hAnsi="Arial Narrow" w:cstheme="minorHAnsi"/>
        </w:rPr>
        <w:t xml:space="preserve">spoločných ukazovateľov, je potrebné </w:t>
      </w:r>
      <w:r w:rsidR="002F3F8C">
        <w:rPr>
          <w:rFonts w:ascii="Arial Narrow" w:hAnsi="Arial Narrow" w:cstheme="minorHAnsi"/>
        </w:rPr>
        <w:t>uviesť ich vo</w:t>
      </w:r>
      <w:r>
        <w:rPr>
          <w:rFonts w:ascii="Arial Narrow" w:hAnsi="Arial Narrow" w:cstheme="minorHAnsi"/>
        </w:rPr>
        <w:t xml:space="preserve"> výz</w:t>
      </w:r>
      <w:r w:rsidR="002F3F8C">
        <w:rPr>
          <w:rFonts w:ascii="Arial Narrow" w:hAnsi="Arial Narrow" w:cstheme="minorHAnsi"/>
        </w:rPr>
        <w:t>vach</w:t>
      </w:r>
      <w:r>
        <w:rPr>
          <w:rFonts w:ascii="Arial Narrow" w:hAnsi="Arial Narrow" w:cstheme="minorHAnsi"/>
        </w:rPr>
        <w:t>/priamych vyzvan</w:t>
      </w:r>
      <w:r w:rsidR="002F3F8C">
        <w:rPr>
          <w:rFonts w:ascii="Arial Narrow" w:hAnsi="Arial Narrow" w:cstheme="minorHAnsi"/>
        </w:rPr>
        <w:t>iach</w:t>
      </w:r>
      <w:r>
        <w:rPr>
          <w:rFonts w:ascii="Arial Narrow" w:hAnsi="Arial Narrow" w:cstheme="minorHAnsi"/>
        </w:rPr>
        <w:t xml:space="preserve">. </w:t>
      </w:r>
      <w:r w:rsidR="002F3F8C">
        <w:rPr>
          <w:rFonts w:ascii="Arial Narrow" w:hAnsi="Arial Narrow" w:cstheme="minorHAnsi"/>
        </w:rPr>
        <w:t>Zber týchto údajov je potrebné zabezpečiť r</w:t>
      </w:r>
      <w:r>
        <w:rPr>
          <w:rFonts w:ascii="Arial Narrow" w:hAnsi="Arial Narrow" w:cstheme="minorHAnsi"/>
        </w:rPr>
        <w:t xml:space="preserve">ovnako v prípade, ak </w:t>
      </w:r>
      <w:r w:rsidR="002F3F8C">
        <w:rPr>
          <w:rFonts w:ascii="Arial Narrow" w:hAnsi="Arial Narrow" w:cstheme="minorHAnsi"/>
        </w:rPr>
        <w:t>v</w:t>
      </w:r>
      <w:r>
        <w:rPr>
          <w:rFonts w:ascii="Arial Narrow" w:hAnsi="Arial Narrow" w:cstheme="minorHAnsi"/>
        </w:rPr>
        <w:t xml:space="preserve">ykonávateľ realizuje investíciu alebo reformu sám a realizované opatrenia </w:t>
      </w:r>
      <w:r w:rsidR="004336F5">
        <w:rPr>
          <w:rFonts w:ascii="Arial Narrow" w:hAnsi="Arial Narrow" w:cstheme="minorHAnsi"/>
        </w:rPr>
        <w:t xml:space="preserve">prispievajú </w:t>
      </w:r>
      <w:r>
        <w:rPr>
          <w:rFonts w:ascii="Arial Narrow" w:hAnsi="Arial Narrow" w:cstheme="minorHAnsi"/>
        </w:rPr>
        <w:t>k plneniu spoločných ukazovateľov.</w:t>
      </w:r>
      <w:r w:rsidR="004336F5">
        <w:rPr>
          <w:rFonts w:ascii="Arial Narrow" w:hAnsi="Arial Narrow" w:cstheme="minorHAnsi"/>
        </w:rPr>
        <w:t xml:space="preserve"> </w:t>
      </w:r>
      <w:r w:rsidR="00391AFD" w:rsidRPr="008F3BDC">
        <w:rPr>
          <w:rFonts w:ascii="Arial Narrow" w:hAnsi="Arial Narrow" w:cstheme="minorHAnsi"/>
        </w:rPr>
        <w:t>Jednotlivé o</w:t>
      </w:r>
      <w:r w:rsidR="00BE2650" w:rsidRPr="008F3BDC">
        <w:rPr>
          <w:rFonts w:ascii="Arial Narrow" w:hAnsi="Arial Narrow" w:cstheme="minorHAnsi"/>
        </w:rPr>
        <w:t>patreni</w:t>
      </w:r>
      <w:r w:rsidR="00391AFD" w:rsidRPr="008F3BDC">
        <w:rPr>
          <w:rFonts w:ascii="Arial Narrow" w:hAnsi="Arial Narrow" w:cstheme="minorHAnsi"/>
        </w:rPr>
        <w:t>a</w:t>
      </w:r>
      <w:r w:rsidR="00BE2650" w:rsidRPr="008F3BDC">
        <w:rPr>
          <w:rFonts w:ascii="Arial Narrow" w:hAnsi="Arial Narrow" w:cstheme="minorHAnsi"/>
        </w:rPr>
        <w:t xml:space="preserve"> </w:t>
      </w:r>
      <w:r w:rsidR="00BD3E67" w:rsidRPr="008F3BDC">
        <w:rPr>
          <w:rFonts w:ascii="Arial Narrow" w:hAnsi="Arial Narrow" w:cstheme="minorHAnsi"/>
        </w:rPr>
        <w:t xml:space="preserve">alebo ich časti (projekty) </w:t>
      </w:r>
      <w:r w:rsidR="00BE2650" w:rsidRPr="008F3BDC">
        <w:rPr>
          <w:rFonts w:ascii="Arial Narrow" w:hAnsi="Arial Narrow" w:cstheme="minorHAnsi"/>
        </w:rPr>
        <w:t>môž</w:t>
      </w:r>
      <w:r w:rsidR="00391AFD" w:rsidRPr="008F3BDC">
        <w:rPr>
          <w:rFonts w:ascii="Arial Narrow" w:hAnsi="Arial Narrow" w:cstheme="minorHAnsi"/>
        </w:rPr>
        <w:t>u</w:t>
      </w:r>
      <w:r w:rsidR="00BE2650" w:rsidRPr="008F3BDC">
        <w:rPr>
          <w:rFonts w:ascii="Arial Narrow" w:hAnsi="Arial Narrow" w:cstheme="minorHAnsi"/>
        </w:rPr>
        <w:t xml:space="preserve"> prispieť</w:t>
      </w:r>
      <w:r w:rsidR="005A7A35" w:rsidRPr="008F3BDC">
        <w:rPr>
          <w:rFonts w:ascii="Arial Narrow" w:hAnsi="Arial Narrow" w:cstheme="minorHAnsi"/>
        </w:rPr>
        <w:t xml:space="preserve"> zároveň</w:t>
      </w:r>
      <w:r w:rsidR="00BE2650" w:rsidRPr="008F3BDC">
        <w:rPr>
          <w:rFonts w:ascii="Arial Narrow" w:hAnsi="Arial Narrow" w:cstheme="minorHAnsi"/>
        </w:rPr>
        <w:t xml:space="preserve"> k niekoľkým spoločným ukazovateľom</w:t>
      </w:r>
      <w:r w:rsidR="005A7A35" w:rsidRPr="008F3BDC">
        <w:rPr>
          <w:rFonts w:ascii="Arial Narrow" w:hAnsi="Arial Narrow" w:cstheme="minorHAnsi"/>
        </w:rPr>
        <w:t xml:space="preserve">, a to </w:t>
      </w:r>
      <w:r w:rsidR="00BE2650" w:rsidRPr="008F3BDC">
        <w:rPr>
          <w:rFonts w:ascii="Arial Narrow" w:hAnsi="Arial Narrow" w:cstheme="minorHAnsi"/>
        </w:rPr>
        <w:t xml:space="preserve">prostredníctvom všetkých alebo </w:t>
      </w:r>
      <w:r w:rsidR="005A7A35" w:rsidRPr="008F3BDC">
        <w:rPr>
          <w:rFonts w:ascii="Arial Narrow" w:hAnsi="Arial Narrow" w:cstheme="minorHAnsi"/>
        </w:rPr>
        <w:t xml:space="preserve">len </w:t>
      </w:r>
      <w:r w:rsidR="00BE2650" w:rsidRPr="008F3BDC">
        <w:rPr>
          <w:rFonts w:ascii="Arial Narrow" w:hAnsi="Arial Narrow" w:cstheme="minorHAnsi"/>
        </w:rPr>
        <w:t>niektorých projektov</w:t>
      </w:r>
      <w:r w:rsidR="00C81605" w:rsidRPr="008F3BDC">
        <w:rPr>
          <w:rFonts w:ascii="Arial Narrow" w:hAnsi="Arial Narrow" w:cstheme="minorHAnsi"/>
        </w:rPr>
        <w:t>, realizovaných  v rámci daného opatrenia</w:t>
      </w:r>
      <w:r w:rsidR="00CF4E93">
        <w:rPr>
          <w:rFonts w:ascii="Arial Narrow" w:hAnsi="Arial Narrow" w:cstheme="minorHAnsi"/>
        </w:rPr>
        <w:t>.</w:t>
      </w:r>
      <w:r w:rsidR="004336F5">
        <w:rPr>
          <w:rFonts w:ascii="Arial Narrow" w:hAnsi="Arial Narrow" w:cstheme="minorHAnsi"/>
        </w:rPr>
        <w:t xml:space="preserve"> Vykonávateľ je v tejto súvislosti povinný správne identifikovať relevantné spoločné ukazovatele ku jednotlivým investíciám a reformám Plánu obnovy a odolnosti SR.</w:t>
      </w:r>
    </w:p>
    <w:p w:rsidR="00BE2650" w:rsidRPr="008F3BDC" w:rsidRDefault="00BE2650" w:rsidP="00BE2650">
      <w:pPr>
        <w:spacing w:after="120"/>
        <w:jc w:val="both"/>
        <w:rPr>
          <w:rFonts w:ascii="Arial Narrow" w:hAnsi="Arial Narrow" w:cstheme="minorHAnsi"/>
        </w:rPr>
      </w:pPr>
      <w:r w:rsidRPr="008F3BDC">
        <w:rPr>
          <w:rFonts w:ascii="Arial Narrow" w:hAnsi="Arial Narrow" w:cstheme="minorHAnsi"/>
        </w:rPr>
        <w:t xml:space="preserve">Vykazované spoločné ukazovatele </w:t>
      </w:r>
      <w:r w:rsidR="005A7A35" w:rsidRPr="008F3BDC">
        <w:rPr>
          <w:rFonts w:ascii="Arial Narrow" w:hAnsi="Arial Narrow" w:cstheme="minorHAnsi"/>
        </w:rPr>
        <w:t xml:space="preserve">musia byť </w:t>
      </w:r>
      <w:r w:rsidR="00C81605" w:rsidRPr="008F3BDC">
        <w:rPr>
          <w:rFonts w:ascii="Arial Narrow" w:hAnsi="Arial Narrow" w:cstheme="minorHAnsi"/>
        </w:rPr>
        <w:t>v zásade</w:t>
      </w:r>
      <w:r w:rsidRPr="008F3BDC">
        <w:rPr>
          <w:rFonts w:ascii="Arial Narrow" w:hAnsi="Arial Narrow" w:cstheme="minorHAnsi"/>
        </w:rPr>
        <w:t xml:space="preserve"> konzistentné a koherentné </w:t>
      </w:r>
      <w:r w:rsidR="005A7A35" w:rsidRPr="008F3BDC">
        <w:rPr>
          <w:rFonts w:ascii="Arial Narrow" w:hAnsi="Arial Narrow" w:cstheme="minorHAnsi"/>
        </w:rPr>
        <w:t xml:space="preserve">vo vzťahu k </w:t>
      </w:r>
      <w:r w:rsidRPr="008F3BDC">
        <w:rPr>
          <w:rFonts w:ascii="Arial Narrow" w:hAnsi="Arial Narrow" w:cstheme="minorHAnsi"/>
        </w:rPr>
        <w:t>ukazovateľ</w:t>
      </w:r>
      <w:r w:rsidR="005A7A35" w:rsidRPr="008F3BDC">
        <w:rPr>
          <w:rFonts w:ascii="Arial Narrow" w:hAnsi="Arial Narrow" w:cstheme="minorHAnsi"/>
        </w:rPr>
        <w:t>om</w:t>
      </w:r>
      <w:r w:rsidRPr="008F3BDC">
        <w:rPr>
          <w:rFonts w:ascii="Arial Narrow" w:hAnsi="Arial Narrow" w:cstheme="minorHAnsi"/>
        </w:rPr>
        <w:t xml:space="preserve"> používaným </w:t>
      </w:r>
      <w:r w:rsidR="00C81605" w:rsidRPr="008F3BDC">
        <w:rPr>
          <w:rFonts w:ascii="Arial Narrow" w:hAnsi="Arial Narrow" w:cstheme="minorHAnsi"/>
        </w:rPr>
        <w:t xml:space="preserve">v rámci iných </w:t>
      </w:r>
      <w:r w:rsidRPr="008F3BDC">
        <w:rPr>
          <w:rFonts w:ascii="Arial Narrow" w:hAnsi="Arial Narrow" w:cstheme="minorHAnsi"/>
        </w:rPr>
        <w:t xml:space="preserve"> fond</w:t>
      </w:r>
      <w:r w:rsidR="00C81605" w:rsidRPr="008F3BDC">
        <w:rPr>
          <w:rFonts w:ascii="Arial Narrow" w:hAnsi="Arial Narrow" w:cstheme="minorHAnsi"/>
        </w:rPr>
        <w:t>ov</w:t>
      </w:r>
      <w:r w:rsidRPr="008F3BDC">
        <w:rPr>
          <w:rFonts w:ascii="Arial Narrow" w:hAnsi="Arial Narrow" w:cstheme="minorHAnsi"/>
        </w:rPr>
        <w:t xml:space="preserve"> EÚ</w:t>
      </w:r>
      <w:r w:rsidR="00B904FE" w:rsidRPr="008F3BDC">
        <w:rPr>
          <w:rFonts w:ascii="Arial Narrow" w:hAnsi="Arial Narrow" w:cstheme="minorHAnsi"/>
        </w:rPr>
        <w:t>, pričom n</w:t>
      </w:r>
      <w:r w:rsidRPr="008F3BDC">
        <w:rPr>
          <w:rFonts w:ascii="Arial Narrow" w:hAnsi="Arial Narrow" w:cstheme="minorHAnsi"/>
        </w:rPr>
        <w:t>iektoré ukazovatele sú podobné tým, ktoré sa používajú v</w:t>
      </w:r>
      <w:r w:rsidR="00A96B01" w:rsidRPr="008F3BDC">
        <w:rPr>
          <w:rFonts w:ascii="Arial Narrow" w:hAnsi="Arial Narrow" w:cstheme="minorHAnsi"/>
        </w:rPr>
        <w:t>o fondoch EÚ</w:t>
      </w:r>
      <w:r w:rsidR="00BD3E67" w:rsidRPr="008F3BDC">
        <w:rPr>
          <w:rFonts w:ascii="Arial Narrow" w:hAnsi="Arial Narrow" w:cstheme="minorHAnsi"/>
        </w:rPr>
        <w:t>. V</w:t>
      </w:r>
      <w:r w:rsidRPr="008F3BDC">
        <w:rPr>
          <w:rFonts w:ascii="Arial Narrow" w:hAnsi="Arial Narrow" w:cstheme="minorHAnsi"/>
        </w:rPr>
        <w:t xml:space="preserve"> </w:t>
      </w:r>
      <w:r w:rsidR="00BC2B2F" w:rsidRPr="008F3BDC">
        <w:rPr>
          <w:rFonts w:ascii="Arial Narrow" w:hAnsi="Arial Narrow" w:cstheme="minorHAnsi"/>
        </w:rPr>
        <w:t xml:space="preserve">takýchto </w:t>
      </w:r>
      <w:r w:rsidR="00BD3E67" w:rsidRPr="008F3BDC">
        <w:rPr>
          <w:rFonts w:ascii="Arial Narrow" w:hAnsi="Arial Narrow" w:cstheme="minorHAnsi"/>
        </w:rPr>
        <w:t xml:space="preserve">prípadoch </w:t>
      </w:r>
      <w:r w:rsidR="00BC2B2F" w:rsidRPr="008F3BDC">
        <w:rPr>
          <w:rFonts w:ascii="Arial Narrow" w:hAnsi="Arial Narrow" w:cstheme="minorHAnsi"/>
        </w:rPr>
        <w:t>sa</w:t>
      </w:r>
      <w:r w:rsidRPr="008F3BDC">
        <w:rPr>
          <w:rFonts w:ascii="Arial Narrow" w:hAnsi="Arial Narrow" w:cstheme="minorHAnsi"/>
        </w:rPr>
        <w:t xml:space="preserve"> </w:t>
      </w:r>
      <w:r w:rsidR="00BC2B2F" w:rsidRPr="008F3BDC">
        <w:rPr>
          <w:rFonts w:ascii="Arial Narrow" w:hAnsi="Arial Narrow" w:cstheme="minorHAnsi"/>
        </w:rPr>
        <w:t>použije rovnaká metodika</w:t>
      </w:r>
      <w:r w:rsidRPr="008F3BDC">
        <w:rPr>
          <w:rFonts w:ascii="Arial Narrow" w:hAnsi="Arial Narrow" w:cstheme="minorHAnsi"/>
        </w:rPr>
        <w:t xml:space="preserve"> na zber a vykazovanie údajov </w:t>
      </w:r>
      <w:r w:rsidR="004336F5">
        <w:rPr>
          <w:rFonts w:ascii="Arial Narrow" w:hAnsi="Arial Narrow" w:cstheme="minorHAnsi"/>
        </w:rPr>
        <w:t xml:space="preserve">aj </w:t>
      </w:r>
      <w:r w:rsidR="00BD3E67" w:rsidRPr="008F3BDC">
        <w:rPr>
          <w:rFonts w:ascii="Arial Narrow" w:hAnsi="Arial Narrow" w:cstheme="minorHAnsi"/>
        </w:rPr>
        <w:t>za Plán obnovy a odolnosti SR</w:t>
      </w:r>
      <w:r w:rsidRPr="008F3BDC">
        <w:rPr>
          <w:rFonts w:ascii="Arial Narrow" w:hAnsi="Arial Narrow" w:cstheme="minorHAnsi"/>
        </w:rPr>
        <w:t>.</w:t>
      </w:r>
    </w:p>
    <w:p w:rsidR="00BE2650" w:rsidRPr="008F3BDC" w:rsidRDefault="00BE2650" w:rsidP="00BE2650">
      <w:pPr>
        <w:spacing w:after="120"/>
        <w:jc w:val="both"/>
        <w:rPr>
          <w:rFonts w:ascii="Arial Narrow" w:hAnsi="Arial Narrow" w:cstheme="minorHAnsi"/>
        </w:rPr>
      </w:pPr>
      <w:r w:rsidRPr="008F3BDC">
        <w:rPr>
          <w:rFonts w:ascii="Arial Narrow" w:hAnsi="Arial Narrow" w:cstheme="minorHAnsi"/>
        </w:rPr>
        <w:t xml:space="preserve">Všetky spoločné ukazovatele </w:t>
      </w:r>
      <w:r w:rsidR="00DA2DF7" w:rsidRPr="008F3BDC">
        <w:rPr>
          <w:rFonts w:ascii="Arial Narrow" w:hAnsi="Arial Narrow" w:cstheme="minorHAnsi"/>
        </w:rPr>
        <w:t>sú zadefinované ako</w:t>
      </w:r>
      <w:r w:rsidRPr="008F3BDC">
        <w:rPr>
          <w:rFonts w:ascii="Arial Narrow" w:hAnsi="Arial Narrow" w:cstheme="minorHAnsi"/>
        </w:rPr>
        <w:t xml:space="preserve"> ukazovatele „výsledk</w:t>
      </w:r>
      <w:r w:rsidR="00DA2DF7" w:rsidRPr="008F3BDC">
        <w:rPr>
          <w:rFonts w:ascii="Arial Narrow" w:hAnsi="Arial Narrow" w:cstheme="minorHAnsi"/>
        </w:rPr>
        <w:t>u</w:t>
      </w:r>
      <w:r w:rsidRPr="008F3BDC">
        <w:rPr>
          <w:rFonts w:ascii="Arial Narrow" w:hAnsi="Arial Narrow" w:cstheme="minorHAnsi"/>
        </w:rPr>
        <w:t>“. Ukazovatele výsledk</w:t>
      </w:r>
      <w:r w:rsidR="00DA2DF7" w:rsidRPr="008F3BDC">
        <w:rPr>
          <w:rFonts w:ascii="Arial Narrow" w:hAnsi="Arial Narrow" w:cstheme="minorHAnsi"/>
        </w:rPr>
        <w:t>u</w:t>
      </w:r>
      <w:r w:rsidRPr="008F3BDC">
        <w:rPr>
          <w:rFonts w:ascii="Arial Narrow" w:hAnsi="Arial Narrow" w:cstheme="minorHAnsi"/>
        </w:rPr>
        <w:t xml:space="preserve"> </w:t>
      </w:r>
      <w:r w:rsidR="00DA2DF7" w:rsidRPr="008F3BDC">
        <w:rPr>
          <w:rFonts w:ascii="Arial Narrow" w:hAnsi="Arial Narrow" w:cstheme="minorHAnsi"/>
        </w:rPr>
        <w:t xml:space="preserve">idú nad rámec </w:t>
      </w:r>
      <w:r w:rsidRPr="008F3BDC">
        <w:rPr>
          <w:rFonts w:ascii="Arial Narrow" w:hAnsi="Arial Narrow" w:cstheme="minorHAnsi"/>
        </w:rPr>
        <w:t>ukazovate</w:t>
      </w:r>
      <w:r w:rsidR="00DA2DF7" w:rsidRPr="008F3BDC">
        <w:rPr>
          <w:rFonts w:ascii="Arial Narrow" w:hAnsi="Arial Narrow" w:cstheme="minorHAnsi"/>
        </w:rPr>
        <w:t>ľov</w:t>
      </w:r>
      <w:r w:rsidRPr="008F3BDC">
        <w:rPr>
          <w:rFonts w:ascii="Arial Narrow" w:hAnsi="Arial Narrow" w:cstheme="minorHAnsi"/>
        </w:rPr>
        <w:t xml:space="preserve"> výstup</w:t>
      </w:r>
      <w:r w:rsidR="00DA2DF7" w:rsidRPr="008F3BDC">
        <w:rPr>
          <w:rFonts w:ascii="Arial Narrow" w:hAnsi="Arial Narrow" w:cstheme="minorHAnsi"/>
        </w:rPr>
        <w:t>u</w:t>
      </w:r>
      <w:r w:rsidRPr="008F3BDC">
        <w:rPr>
          <w:rFonts w:ascii="Arial Narrow" w:hAnsi="Arial Narrow" w:cstheme="minorHAnsi"/>
        </w:rPr>
        <w:t>, pretože sa snažia zachytiť zmenu</w:t>
      </w:r>
      <w:r w:rsidR="00DA2DF7" w:rsidRPr="008F3BDC">
        <w:rPr>
          <w:rFonts w:ascii="Arial Narrow" w:hAnsi="Arial Narrow" w:cstheme="minorHAnsi"/>
        </w:rPr>
        <w:t xml:space="preserve"> celkovej </w:t>
      </w:r>
      <w:r w:rsidRPr="008F3BDC">
        <w:rPr>
          <w:rFonts w:ascii="Arial Narrow" w:hAnsi="Arial Narrow" w:cstheme="minorHAnsi"/>
        </w:rPr>
        <w:t xml:space="preserve"> situácie a účinky </w:t>
      </w:r>
      <w:r w:rsidR="00DA2DF7" w:rsidRPr="008F3BDC">
        <w:rPr>
          <w:rFonts w:ascii="Arial Narrow" w:hAnsi="Arial Narrow" w:cstheme="minorHAnsi"/>
        </w:rPr>
        <w:t xml:space="preserve">tejto zmeny </w:t>
      </w:r>
      <w:r w:rsidR="00A01723" w:rsidRPr="008F3BDC">
        <w:rPr>
          <w:rFonts w:ascii="Arial Narrow" w:hAnsi="Arial Narrow" w:cstheme="minorHAnsi"/>
        </w:rPr>
        <w:t xml:space="preserve">na subjekty prijímajúce podporu, </w:t>
      </w:r>
      <w:r w:rsidR="00DA2DF7" w:rsidRPr="008F3BDC">
        <w:rPr>
          <w:rFonts w:ascii="Arial Narrow" w:hAnsi="Arial Narrow" w:cstheme="minorHAnsi"/>
        </w:rPr>
        <w:t xml:space="preserve">napr. </w:t>
      </w:r>
      <w:r w:rsidR="00BD3E67" w:rsidRPr="008F3BDC">
        <w:rPr>
          <w:rFonts w:ascii="Arial Narrow" w:hAnsi="Arial Narrow" w:cstheme="minorHAnsi"/>
        </w:rPr>
        <w:t xml:space="preserve">na </w:t>
      </w:r>
      <w:r w:rsidRPr="008F3BDC">
        <w:rPr>
          <w:rFonts w:ascii="Arial Narrow" w:hAnsi="Arial Narrow" w:cstheme="minorHAnsi"/>
        </w:rPr>
        <w:t xml:space="preserve">cieľové </w:t>
      </w:r>
      <w:r w:rsidR="00DA2DF7" w:rsidRPr="008F3BDC">
        <w:rPr>
          <w:rFonts w:ascii="Arial Narrow" w:hAnsi="Arial Narrow" w:cstheme="minorHAnsi"/>
        </w:rPr>
        <w:t xml:space="preserve">skupiny </w:t>
      </w:r>
      <w:r w:rsidRPr="008F3BDC">
        <w:rPr>
          <w:rFonts w:ascii="Arial Narrow" w:hAnsi="Arial Narrow" w:cstheme="minorHAnsi"/>
        </w:rPr>
        <w:t>obyvateľstv</w:t>
      </w:r>
      <w:r w:rsidR="00DA2DF7" w:rsidRPr="008F3BDC">
        <w:rPr>
          <w:rFonts w:ascii="Arial Narrow" w:hAnsi="Arial Narrow" w:cstheme="minorHAnsi"/>
        </w:rPr>
        <w:t>a</w:t>
      </w:r>
      <w:r w:rsidR="00A96B01" w:rsidRPr="008F3BDC">
        <w:rPr>
          <w:rFonts w:ascii="Arial Narrow" w:hAnsi="Arial Narrow" w:cstheme="minorHAnsi"/>
        </w:rPr>
        <w:t xml:space="preserve"> </w:t>
      </w:r>
      <w:r w:rsidRPr="008F3BDC">
        <w:rPr>
          <w:rFonts w:ascii="Arial Narrow" w:hAnsi="Arial Narrow" w:cstheme="minorHAnsi"/>
        </w:rPr>
        <w:t xml:space="preserve">alebo podniky (t. j. </w:t>
      </w:r>
      <w:r w:rsidR="00BD3E67" w:rsidRPr="008F3BDC">
        <w:rPr>
          <w:rFonts w:ascii="Arial Narrow" w:hAnsi="Arial Narrow" w:cstheme="minorHAnsi"/>
        </w:rPr>
        <w:t xml:space="preserve">občania </w:t>
      </w:r>
      <w:r w:rsidRPr="008F3BDC">
        <w:rPr>
          <w:rFonts w:ascii="Arial Narrow" w:hAnsi="Arial Narrow" w:cstheme="minorHAnsi"/>
        </w:rPr>
        <w:t>využívajúci</w:t>
      </w:r>
      <w:r w:rsidR="00BD3E67" w:rsidRPr="008F3BDC">
        <w:rPr>
          <w:rFonts w:ascii="Arial Narrow" w:hAnsi="Arial Narrow" w:cstheme="minorHAnsi"/>
        </w:rPr>
        <w:t>ch</w:t>
      </w:r>
      <w:r w:rsidRPr="008F3BDC">
        <w:rPr>
          <w:rFonts w:ascii="Arial Narrow" w:hAnsi="Arial Narrow" w:cstheme="minorHAnsi"/>
        </w:rPr>
        <w:t xml:space="preserve"> dodatočnú ochranu pred klimatickými zmenami a prírodnými katastrofami, </w:t>
      </w:r>
      <w:r w:rsidR="00DA2DF7" w:rsidRPr="008F3BDC">
        <w:rPr>
          <w:rFonts w:ascii="Arial Narrow" w:hAnsi="Arial Narrow" w:cstheme="minorHAnsi"/>
        </w:rPr>
        <w:t>občania</w:t>
      </w:r>
      <w:r w:rsidRPr="008F3BDC">
        <w:rPr>
          <w:rFonts w:ascii="Arial Narrow" w:hAnsi="Arial Narrow" w:cstheme="minorHAnsi"/>
        </w:rPr>
        <w:t xml:space="preserve"> </w:t>
      </w:r>
      <w:r w:rsidR="00DA2DF7" w:rsidRPr="008F3BDC">
        <w:rPr>
          <w:rFonts w:ascii="Arial Narrow" w:hAnsi="Arial Narrow" w:cstheme="minorHAnsi"/>
        </w:rPr>
        <w:t>po</w:t>
      </w:r>
      <w:r w:rsidRPr="008F3BDC">
        <w:rPr>
          <w:rFonts w:ascii="Arial Narrow" w:hAnsi="Arial Narrow" w:cstheme="minorHAnsi"/>
        </w:rPr>
        <w:t>užívajúci nové verejné digitálne služby</w:t>
      </w:r>
      <w:r w:rsidR="00DA2DF7" w:rsidRPr="008F3BDC">
        <w:rPr>
          <w:rFonts w:ascii="Arial Narrow" w:hAnsi="Arial Narrow" w:cstheme="minorHAnsi"/>
        </w:rPr>
        <w:t xml:space="preserve">, </w:t>
      </w:r>
      <w:r w:rsidRPr="008F3BDC">
        <w:rPr>
          <w:rFonts w:ascii="Arial Narrow" w:hAnsi="Arial Narrow" w:cstheme="minorHAnsi"/>
        </w:rPr>
        <w:t xml:space="preserve"> </w:t>
      </w:r>
      <w:r w:rsidR="00DA2DF7" w:rsidRPr="008F3BDC">
        <w:rPr>
          <w:rFonts w:ascii="Arial Narrow" w:hAnsi="Arial Narrow" w:cstheme="minorHAnsi"/>
        </w:rPr>
        <w:t>občania participu</w:t>
      </w:r>
      <w:r w:rsidR="00636C69" w:rsidRPr="008F3BDC">
        <w:rPr>
          <w:rFonts w:ascii="Arial Narrow" w:hAnsi="Arial Narrow" w:cstheme="minorHAnsi"/>
        </w:rPr>
        <w:t xml:space="preserve">júci na </w:t>
      </w:r>
      <w:r w:rsidRPr="008F3BDC">
        <w:rPr>
          <w:rFonts w:ascii="Arial Narrow" w:hAnsi="Arial Narrow" w:cstheme="minorHAnsi"/>
        </w:rPr>
        <w:t>školenia</w:t>
      </w:r>
      <w:r w:rsidR="00636C69" w:rsidRPr="008F3BDC">
        <w:rPr>
          <w:rFonts w:ascii="Arial Narrow" w:hAnsi="Arial Narrow" w:cstheme="minorHAnsi"/>
        </w:rPr>
        <w:t>ch</w:t>
      </w:r>
      <w:r w:rsidRPr="008F3BDC">
        <w:rPr>
          <w:rFonts w:ascii="Arial Narrow" w:hAnsi="Arial Narrow" w:cstheme="minorHAnsi"/>
        </w:rPr>
        <w:t xml:space="preserve"> atď.).</w:t>
      </w:r>
    </w:p>
    <w:p w:rsidR="00A96B01" w:rsidRPr="008F3BDC" w:rsidRDefault="00A96B01" w:rsidP="00BE2650">
      <w:pPr>
        <w:spacing w:after="120"/>
        <w:jc w:val="both"/>
        <w:rPr>
          <w:rFonts w:ascii="Arial Narrow" w:hAnsi="Arial Narrow" w:cstheme="minorHAnsi"/>
        </w:rPr>
      </w:pPr>
      <w:r w:rsidRPr="008F3BDC">
        <w:rPr>
          <w:rFonts w:ascii="Arial Narrow" w:hAnsi="Arial Narrow" w:cstheme="minorHAnsi"/>
        </w:rPr>
        <w:t xml:space="preserve">V prípade revízie Plánu obnovy a odolnosti </w:t>
      </w:r>
      <w:r w:rsidR="004336F5">
        <w:rPr>
          <w:rFonts w:ascii="Arial Narrow" w:hAnsi="Arial Narrow" w:cstheme="minorHAnsi"/>
        </w:rPr>
        <w:t xml:space="preserve">SR </w:t>
      </w:r>
      <w:r w:rsidRPr="008F3BDC">
        <w:rPr>
          <w:rFonts w:ascii="Arial Narrow" w:hAnsi="Arial Narrow" w:cstheme="minorHAnsi"/>
        </w:rPr>
        <w:t>je východiskom pre podávanie správ revidovaný plán.</w:t>
      </w:r>
    </w:p>
    <w:p w:rsidR="00BE2650" w:rsidRPr="008F3BDC" w:rsidRDefault="00246EB3" w:rsidP="0002197E">
      <w:pPr>
        <w:pStyle w:val="Odsekzoznamu"/>
        <w:numPr>
          <w:ilvl w:val="0"/>
          <w:numId w:val="18"/>
        </w:numPr>
        <w:spacing w:before="480" w:after="240"/>
        <w:ind w:left="714" w:hanging="357"/>
        <w:rPr>
          <w:rStyle w:val="Nadpis1Char"/>
          <w:rFonts w:ascii="Arial Narrow" w:hAnsi="Arial Narrow" w:cstheme="minorHAnsi"/>
          <w:b/>
          <w:color w:val="5B9BD5" w:themeColor="accent1"/>
          <w:sz w:val="24"/>
          <w:szCs w:val="24"/>
        </w:rPr>
      </w:pPr>
      <w:bookmarkStart w:id="8" w:name="_Toc95761568"/>
      <w:r w:rsidRPr="008F3BDC">
        <w:rPr>
          <w:rStyle w:val="Nadpis1Char"/>
          <w:rFonts w:ascii="Arial Narrow" w:hAnsi="Arial Narrow" w:cstheme="minorHAnsi"/>
          <w:b/>
          <w:color w:val="5B9BD5" w:themeColor="accent1"/>
          <w:sz w:val="24"/>
          <w:szCs w:val="24"/>
        </w:rPr>
        <w:lastRenderedPageBreak/>
        <w:t>Obdobie sledovania</w:t>
      </w:r>
      <w:r w:rsidR="0002197E" w:rsidRPr="008F3BDC">
        <w:rPr>
          <w:rStyle w:val="Nadpis1Char"/>
          <w:rFonts w:ascii="Arial Narrow" w:hAnsi="Arial Narrow" w:cstheme="minorHAnsi"/>
          <w:b/>
          <w:color w:val="5B9BD5" w:themeColor="accent1"/>
          <w:sz w:val="24"/>
          <w:szCs w:val="24"/>
        </w:rPr>
        <w:t>,</w:t>
      </w:r>
      <w:r w:rsidRPr="008F3BDC">
        <w:rPr>
          <w:rStyle w:val="Nadpis1Char"/>
          <w:rFonts w:ascii="Arial Narrow" w:hAnsi="Arial Narrow" w:cstheme="minorHAnsi"/>
          <w:b/>
          <w:color w:val="5B9BD5" w:themeColor="accent1"/>
          <w:sz w:val="24"/>
          <w:szCs w:val="24"/>
        </w:rPr>
        <w:t xml:space="preserve"> </w:t>
      </w:r>
      <w:r w:rsidR="00F07F1E" w:rsidRPr="008F3BDC">
        <w:rPr>
          <w:rStyle w:val="Nadpis1Char"/>
          <w:rFonts w:ascii="Arial Narrow" w:hAnsi="Arial Narrow" w:cstheme="minorHAnsi"/>
          <w:b/>
          <w:color w:val="5B9BD5" w:themeColor="accent1"/>
          <w:sz w:val="24"/>
          <w:szCs w:val="24"/>
        </w:rPr>
        <w:t xml:space="preserve">vykazovania </w:t>
      </w:r>
      <w:r w:rsidR="00EE5606" w:rsidRPr="008F3BDC">
        <w:rPr>
          <w:rStyle w:val="Nadpis1Char"/>
          <w:rFonts w:ascii="Arial Narrow" w:hAnsi="Arial Narrow" w:cstheme="minorHAnsi"/>
          <w:b/>
          <w:color w:val="5B9BD5" w:themeColor="accent1"/>
          <w:sz w:val="24"/>
          <w:szCs w:val="24"/>
        </w:rPr>
        <w:t>hodnôt</w:t>
      </w:r>
      <w:r w:rsidR="008A04D1" w:rsidRPr="008F3BDC">
        <w:rPr>
          <w:rStyle w:val="Nadpis1Char"/>
          <w:rFonts w:ascii="Arial Narrow" w:hAnsi="Arial Narrow" w:cstheme="minorHAnsi"/>
          <w:b/>
          <w:color w:val="5B9BD5" w:themeColor="accent1"/>
          <w:sz w:val="24"/>
          <w:szCs w:val="24"/>
        </w:rPr>
        <w:t xml:space="preserve"> spoločných ukazovateľov</w:t>
      </w:r>
      <w:r w:rsidR="00EE5606" w:rsidRPr="008F3BDC">
        <w:rPr>
          <w:rStyle w:val="Nadpis1Char"/>
          <w:rFonts w:ascii="Arial Narrow" w:hAnsi="Arial Narrow" w:cstheme="minorHAnsi"/>
          <w:b/>
          <w:color w:val="5B9BD5" w:themeColor="accent1"/>
          <w:sz w:val="24"/>
          <w:szCs w:val="24"/>
        </w:rPr>
        <w:t xml:space="preserve"> </w:t>
      </w:r>
      <w:r w:rsidR="0002197E" w:rsidRPr="008F3BDC">
        <w:rPr>
          <w:rStyle w:val="Nadpis1Char"/>
          <w:rFonts w:ascii="Arial Narrow" w:hAnsi="Arial Narrow" w:cstheme="minorHAnsi"/>
          <w:b/>
          <w:color w:val="5B9BD5" w:themeColor="accent1"/>
          <w:sz w:val="24"/>
          <w:szCs w:val="24"/>
        </w:rPr>
        <w:t>a podávania správ</w:t>
      </w:r>
      <w:bookmarkEnd w:id="8"/>
    </w:p>
    <w:p w:rsidR="00A96B01" w:rsidRPr="008F3BDC" w:rsidRDefault="00BC2B2F" w:rsidP="00BC2B2F">
      <w:pPr>
        <w:spacing w:after="120"/>
        <w:jc w:val="both"/>
        <w:rPr>
          <w:rFonts w:ascii="Arial Narrow" w:hAnsi="Arial Narrow" w:cstheme="minorHAnsi"/>
        </w:rPr>
      </w:pPr>
      <w:r w:rsidRPr="008F3BDC">
        <w:rPr>
          <w:rFonts w:ascii="Arial Narrow" w:hAnsi="Arial Narrow" w:cstheme="minorHAnsi"/>
        </w:rPr>
        <w:t xml:space="preserve">Podávanie správ </w:t>
      </w:r>
      <w:r w:rsidR="0011288B" w:rsidRPr="008F3BDC">
        <w:rPr>
          <w:rFonts w:ascii="Arial Narrow" w:hAnsi="Arial Narrow" w:cstheme="minorHAnsi"/>
        </w:rPr>
        <w:t>o</w:t>
      </w:r>
      <w:r w:rsidR="00F07F1E" w:rsidRPr="008F3BDC">
        <w:rPr>
          <w:rFonts w:ascii="Arial Narrow" w:hAnsi="Arial Narrow" w:cstheme="minorHAnsi"/>
        </w:rPr>
        <w:t> spoločný</w:t>
      </w:r>
      <w:r w:rsidR="0011288B" w:rsidRPr="008F3BDC">
        <w:rPr>
          <w:rFonts w:ascii="Arial Narrow" w:hAnsi="Arial Narrow" w:cstheme="minorHAnsi"/>
        </w:rPr>
        <w:t>ch</w:t>
      </w:r>
      <w:r w:rsidR="00F07F1E" w:rsidRPr="008F3BDC">
        <w:rPr>
          <w:rFonts w:ascii="Arial Narrow" w:hAnsi="Arial Narrow" w:cstheme="minorHAnsi"/>
        </w:rPr>
        <w:t xml:space="preserve"> ukazovateľo</w:t>
      </w:r>
      <w:r w:rsidR="0011288B" w:rsidRPr="008F3BDC">
        <w:rPr>
          <w:rFonts w:ascii="Arial Narrow" w:hAnsi="Arial Narrow" w:cstheme="minorHAnsi"/>
        </w:rPr>
        <w:t>ch</w:t>
      </w:r>
      <w:r w:rsidR="00F07F1E" w:rsidRPr="008F3BDC">
        <w:rPr>
          <w:rFonts w:ascii="Arial Narrow" w:hAnsi="Arial Narrow" w:cstheme="minorHAnsi"/>
        </w:rPr>
        <w:t xml:space="preserve"> </w:t>
      </w:r>
      <w:r w:rsidRPr="008F3BDC">
        <w:rPr>
          <w:rFonts w:ascii="Arial Narrow" w:hAnsi="Arial Narrow" w:cstheme="minorHAnsi"/>
        </w:rPr>
        <w:t xml:space="preserve">sa vzťahuje na celé obdobie implementácie </w:t>
      </w:r>
      <w:r w:rsidR="00A96B01" w:rsidRPr="008F3BDC">
        <w:rPr>
          <w:rFonts w:ascii="Arial Narrow" w:hAnsi="Arial Narrow" w:cstheme="minorHAnsi"/>
        </w:rPr>
        <w:t>P</w:t>
      </w:r>
      <w:r w:rsidRPr="008F3BDC">
        <w:rPr>
          <w:rFonts w:ascii="Arial Narrow" w:hAnsi="Arial Narrow" w:cstheme="minorHAnsi"/>
        </w:rPr>
        <w:t>lánu</w:t>
      </w:r>
      <w:r w:rsidR="00F07F1E" w:rsidRPr="008F3BDC">
        <w:rPr>
          <w:rFonts w:ascii="Arial Narrow" w:hAnsi="Arial Narrow" w:cstheme="minorHAnsi"/>
        </w:rPr>
        <w:t xml:space="preserve"> obnovy a</w:t>
      </w:r>
      <w:r w:rsidR="00A96B01" w:rsidRPr="008F3BDC">
        <w:rPr>
          <w:rFonts w:ascii="Arial Narrow" w:hAnsi="Arial Narrow" w:cstheme="minorHAnsi"/>
        </w:rPr>
        <w:t> </w:t>
      </w:r>
      <w:r w:rsidR="00F07F1E" w:rsidRPr="008F3BDC">
        <w:rPr>
          <w:rFonts w:ascii="Arial Narrow" w:hAnsi="Arial Narrow" w:cstheme="minorHAnsi"/>
        </w:rPr>
        <w:t>odolnosti</w:t>
      </w:r>
      <w:r w:rsidR="00A96B01" w:rsidRPr="008F3BDC">
        <w:rPr>
          <w:rFonts w:ascii="Arial Narrow" w:hAnsi="Arial Narrow" w:cstheme="minorHAnsi"/>
        </w:rPr>
        <w:t xml:space="preserve"> SR</w:t>
      </w:r>
      <w:r w:rsidRPr="008F3BDC">
        <w:rPr>
          <w:rFonts w:ascii="Arial Narrow" w:hAnsi="Arial Narrow" w:cstheme="minorHAnsi"/>
        </w:rPr>
        <w:t xml:space="preserve">. </w:t>
      </w:r>
    </w:p>
    <w:p w:rsidR="00A96B01" w:rsidRPr="008F3BDC" w:rsidRDefault="00BC2B2F" w:rsidP="00BC2B2F">
      <w:pPr>
        <w:spacing w:after="120"/>
        <w:jc w:val="both"/>
        <w:rPr>
          <w:rFonts w:ascii="Arial Narrow" w:hAnsi="Arial Narrow" w:cstheme="minorHAnsi"/>
        </w:rPr>
      </w:pPr>
      <w:r w:rsidRPr="008F3BDC">
        <w:rPr>
          <w:rFonts w:ascii="Arial Narrow" w:hAnsi="Arial Narrow" w:cstheme="minorHAnsi"/>
        </w:rPr>
        <w:t>Vykazovanie sa vzťah</w:t>
      </w:r>
      <w:r w:rsidR="00A96B01" w:rsidRPr="008F3BDC">
        <w:rPr>
          <w:rFonts w:ascii="Arial Narrow" w:hAnsi="Arial Narrow" w:cstheme="minorHAnsi"/>
        </w:rPr>
        <w:t>uje</w:t>
      </w:r>
      <w:r w:rsidRPr="008F3BDC">
        <w:rPr>
          <w:rFonts w:ascii="Arial Narrow" w:hAnsi="Arial Narrow" w:cstheme="minorHAnsi"/>
        </w:rPr>
        <w:t xml:space="preserve"> na obdobie </w:t>
      </w:r>
      <w:r w:rsidRPr="008F3BDC">
        <w:rPr>
          <w:rFonts w:ascii="Arial Narrow" w:hAnsi="Arial Narrow" w:cstheme="minorHAnsi"/>
          <w:b/>
        </w:rPr>
        <w:t>od 1. februára 2020</w:t>
      </w:r>
      <w:r w:rsidR="00A96B01" w:rsidRPr="008F3BDC">
        <w:rPr>
          <w:rFonts w:ascii="Arial Narrow" w:hAnsi="Arial Narrow" w:cstheme="minorHAnsi"/>
        </w:rPr>
        <w:t xml:space="preserve">. </w:t>
      </w:r>
      <w:r w:rsidR="00B904FE" w:rsidRPr="008F3BDC">
        <w:rPr>
          <w:rFonts w:ascii="Arial Narrow" w:hAnsi="Arial Narrow" w:cstheme="minorHAnsi"/>
        </w:rPr>
        <w:t>S</w:t>
      </w:r>
      <w:r w:rsidR="00A96B01" w:rsidRPr="008F3BDC">
        <w:rPr>
          <w:rFonts w:ascii="Arial Narrow" w:hAnsi="Arial Narrow" w:cstheme="minorHAnsi"/>
        </w:rPr>
        <w:t>poločné ukazovatele</w:t>
      </w:r>
      <w:r w:rsidR="00B904FE" w:rsidRPr="008F3BDC">
        <w:rPr>
          <w:rFonts w:ascii="Arial Narrow" w:hAnsi="Arial Narrow" w:cstheme="minorHAnsi"/>
        </w:rPr>
        <w:t xml:space="preserve"> sa</w:t>
      </w:r>
      <w:r w:rsidR="00A96B01" w:rsidRPr="008F3BDC">
        <w:rPr>
          <w:rFonts w:ascii="Arial Narrow" w:hAnsi="Arial Narrow" w:cstheme="minorHAnsi"/>
        </w:rPr>
        <w:t xml:space="preserve"> vykazujú </w:t>
      </w:r>
      <w:r w:rsidR="00B904FE" w:rsidRPr="008F3BDC">
        <w:rPr>
          <w:rFonts w:ascii="Arial Narrow" w:hAnsi="Arial Narrow" w:cstheme="minorHAnsi"/>
        </w:rPr>
        <w:t>EÚ</w:t>
      </w:r>
      <w:r w:rsidRPr="008F3BDC">
        <w:rPr>
          <w:rFonts w:ascii="Arial Narrow" w:hAnsi="Arial Narrow" w:cstheme="minorHAnsi"/>
        </w:rPr>
        <w:t xml:space="preserve"> </w:t>
      </w:r>
      <w:r w:rsidR="0011288B" w:rsidRPr="008F3BDC">
        <w:rPr>
          <w:rFonts w:ascii="Arial Narrow" w:hAnsi="Arial Narrow" w:cstheme="minorHAnsi"/>
        </w:rPr>
        <w:t>v </w:t>
      </w:r>
      <w:r w:rsidRPr="008F3BDC">
        <w:rPr>
          <w:rFonts w:ascii="Arial Narrow" w:hAnsi="Arial Narrow" w:cstheme="minorHAnsi"/>
        </w:rPr>
        <w:t>polročn</w:t>
      </w:r>
      <w:r w:rsidR="0011288B" w:rsidRPr="008F3BDC">
        <w:rPr>
          <w:rFonts w:ascii="Arial Narrow" w:hAnsi="Arial Narrow" w:cstheme="minorHAnsi"/>
        </w:rPr>
        <w:t>ých i</w:t>
      </w:r>
      <w:r w:rsidR="0002197E" w:rsidRPr="008F3BDC">
        <w:rPr>
          <w:rFonts w:ascii="Arial Narrow" w:hAnsi="Arial Narrow" w:cstheme="minorHAnsi"/>
        </w:rPr>
        <w:t>n</w:t>
      </w:r>
      <w:r w:rsidR="0011288B" w:rsidRPr="008F3BDC">
        <w:rPr>
          <w:rFonts w:ascii="Arial Narrow" w:hAnsi="Arial Narrow" w:cstheme="minorHAnsi"/>
        </w:rPr>
        <w:t>t</w:t>
      </w:r>
      <w:r w:rsidR="0002197E" w:rsidRPr="008F3BDC">
        <w:rPr>
          <w:rFonts w:ascii="Arial Narrow" w:hAnsi="Arial Narrow" w:cstheme="minorHAnsi"/>
        </w:rPr>
        <w:t>e</w:t>
      </w:r>
      <w:r w:rsidR="0011288B" w:rsidRPr="008F3BDC">
        <w:rPr>
          <w:rFonts w:ascii="Arial Narrow" w:hAnsi="Arial Narrow" w:cstheme="minorHAnsi"/>
        </w:rPr>
        <w:t xml:space="preserve">rvaloch, </w:t>
      </w:r>
      <w:r w:rsidR="00A96B01" w:rsidRPr="008F3BDC">
        <w:rPr>
          <w:rFonts w:ascii="Arial Narrow" w:hAnsi="Arial Narrow" w:cstheme="minorHAnsi"/>
        </w:rPr>
        <w:t>a to so stavom</w:t>
      </w:r>
      <w:r w:rsidR="00F07F1E" w:rsidRPr="008F3BDC">
        <w:rPr>
          <w:rFonts w:ascii="Arial Narrow" w:hAnsi="Arial Narrow" w:cstheme="minorHAnsi"/>
        </w:rPr>
        <w:t xml:space="preserve"> k </w:t>
      </w:r>
      <w:r w:rsidR="00F07F1E" w:rsidRPr="008F3BDC">
        <w:rPr>
          <w:rFonts w:ascii="Arial Narrow" w:hAnsi="Arial Narrow" w:cstheme="minorHAnsi"/>
          <w:b/>
        </w:rPr>
        <w:t>31. decembru</w:t>
      </w:r>
      <w:r w:rsidR="00F07F1E" w:rsidRPr="008F3BDC">
        <w:rPr>
          <w:rFonts w:ascii="Arial Narrow" w:hAnsi="Arial Narrow" w:cstheme="minorHAnsi"/>
        </w:rPr>
        <w:t xml:space="preserve"> a </w:t>
      </w:r>
      <w:r w:rsidR="00F07F1E" w:rsidRPr="008F3BDC">
        <w:rPr>
          <w:rFonts w:ascii="Arial Narrow" w:hAnsi="Arial Narrow" w:cstheme="minorHAnsi"/>
          <w:b/>
        </w:rPr>
        <w:t>30. júnu</w:t>
      </w:r>
      <w:r w:rsidRPr="008F3BDC">
        <w:rPr>
          <w:rFonts w:ascii="Arial Narrow" w:hAnsi="Arial Narrow" w:cstheme="minorHAnsi"/>
          <w:b/>
        </w:rPr>
        <w:t xml:space="preserve"> každého roka</w:t>
      </w:r>
      <w:r w:rsidRPr="008F3BDC">
        <w:rPr>
          <w:rFonts w:ascii="Arial Narrow" w:hAnsi="Arial Narrow" w:cstheme="minorHAnsi"/>
        </w:rPr>
        <w:t xml:space="preserve">. </w:t>
      </w:r>
    </w:p>
    <w:p w:rsidR="00A96B01" w:rsidRPr="008F3BDC" w:rsidRDefault="00F07F1E" w:rsidP="00BC2B2F">
      <w:pPr>
        <w:spacing w:after="120"/>
        <w:jc w:val="both"/>
        <w:rPr>
          <w:rFonts w:ascii="Arial Narrow" w:hAnsi="Arial Narrow" w:cstheme="minorHAnsi"/>
        </w:rPr>
      </w:pPr>
      <w:r w:rsidRPr="008F3BDC">
        <w:rPr>
          <w:rFonts w:ascii="Arial Narrow" w:hAnsi="Arial Narrow" w:cstheme="minorHAnsi"/>
        </w:rPr>
        <w:t xml:space="preserve">Termín podávania správ </w:t>
      </w:r>
      <w:r w:rsidR="008A04D1" w:rsidRPr="008F3BDC">
        <w:rPr>
          <w:rFonts w:ascii="Arial Narrow" w:hAnsi="Arial Narrow" w:cstheme="minorHAnsi"/>
        </w:rPr>
        <w:t xml:space="preserve">na EK </w:t>
      </w:r>
      <w:r w:rsidR="00034BE0" w:rsidRPr="008F3BDC">
        <w:rPr>
          <w:rFonts w:ascii="Arial Narrow" w:hAnsi="Arial Narrow" w:cstheme="minorHAnsi"/>
        </w:rPr>
        <w:t>o</w:t>
      </w:r>
      <w:r w:rsidRPr="008F3BDC">
        <w:rPr>
          <w:rFonts w:ascii="Arial Narrow" w:hAnsi="Arial Narrow" w:cstheme="minorHAnsi"/>
        </w:rPr>
        <w:t> spoločný</w:t>
      </w:r>
      <w:r w:rsidR="00034BE0" w:rsidRPr="008F3BDC">
        <w:rPr>
          <w:rFonts w:ascii="Arial Narrow" w:hAnsi="Arial Narrow" w:cstheme="minorHAnsi"/>
        </w:rPr>
        <w:t>ch</w:t>
      </w:r>
      <w:r w:rsidRPr="008F3BDC">
        <w:rPr>
          <w:rFonts w:ascii="Arial Narrow" w:hAnsi="Arial Narrow" w:cstheme="minorHAnsi"/>
        </w:rPr>
        <w:t xml:space="preserve"> ukazovateľo</w:t>
      </w:r>
      <w:r w:rsidR="00034BE0" w:rsidRPr="008F3BDC">
        <w:rPr>
          <w:rFonts w:ascii="Arial Narrow" w:hAnsi="Arial Narrow" w:cstheme="minorHAnsi"/>
        </w:rPr>
        <w:t>ch</w:t>
      </w:r>
      <w:r w:rsidRPr="008F3BDC">
        <w:rPr>
          <w:rFonts w:ascii="Arial Narrow" w:hAnsi="Arial Narrow" w:cstheme="minorHAnsi"/>
        </w:rPr>
        <w:t xml:space="preserve"> je február a </w:t>
      </w:r>
      <w:r w:rsidR="0013613B" w:rsidRPr="008F3BDC">
        <w:rPr>
          <w:rFonts w:ascii="Arial Narrow" w:hAnsi="Arial Narrow" w:cstheme="minorHAnsi"/>
        </w:rPr>
        <w:t xml:space="preserve">august. </w:t>
      </w:r>
      <w:r w:rsidR="00A96B01" w:rsidRPr="008F3BDC">
        <w:rPr>
          <w:rFonts w:ascii="Arial Narrow" w:hAnsi="Arial Narrow" w:cstheme="minorHAnsi"/>
        </w:rPr>
        <w:t xml:space="preserve">Prvá správa o spoločných ukazovateľoch za uplynulé obdobie bude zaslaná vo februári 2022. </w:t>
      </w:r>
    </w:p>
    <w:p w:rsidR="00F07F1E" w:rsidRPr="001E62B0" w:rsidRDefault="0013613B" w:rsidP="00BC2B2F">
      <w:pPr>
        <w:spacing w:after="120"/>
        <w:jc w:val="both"/>
        <w:rPr>
          <w:rFonts w:ascii="Arial Narrow" w:hAnsi="Arial Narrow" w:cstheme="minorHAnsi"/>
        </w:rPr>
      </w:pPr>
      <w:r w:rsidRPr="001E62B0">
        <w:rPr>
          <w:rFonts w:ascii="Arial Narrow" w:hAnsi="Arial Narrow" w:cstheme="minorHAnsi"/>
        </w:rPr>
        <w:t>Hodnoty</w:t>
      </w:r>
      <w:r w:rsidR="00246EB3" w:rsidRPr="001E62B0">
        <w:rPr>
          <w:rFonts w:ascii="Arial Narrow" w:hAnsi="Arial Narrow" w:cstheme="minorHAnsi"/>
        </w:rPr>
        <w:t>, ktoré majú byť reportované</w:t>
      </w:r>
      <w:r w:rsidR="00BC2B2F" w:rsidRPr="001E62B0">
        <w:rPr>
          <w:rFonts w:ascii="Arial Narrow" w:hAnsi="Arial Narrow" w:cstheme="minorHAnsi"/>
        </w:rPr>
        <w:t xml:space="preserve"> v auguste roku N, budú predstavovať výsledky opatrení, ktoré sa </w:t>
      </w:r>
      <w:r w:rsidR="00246EB3" w:rsidRPr="001E62B0">
        <w:rPr>
          <w:rFonts w:ascii="Arial Narrow" w:hAnsi="Arial Narrow" w:cstheme="minorHAnsi"/>
        </w:rPr>
        <w:t xml:space="preserve">začali </w:t>
      </w:r>
      <w:r w:rsidRPr="001E62B0">
        <w:rPr>
          <w:rFonts w:ascii="Arial Narrow" w:hAnsi="Arial Narrow" w:cstheme="minorHAnsi"/>
        </w:rPr>
        <w:t>implementovať</w:t>
      </w:r>
      <w:r w:rsidR="00246EB3" w:rsidRPr="001E62B0">
        <w:rPr>
          <w:rFonts w:ascii="Arial Narrow" w:hAnsi="Arial Narrow" w:cstheme="minorHAnsi"/>
        </w:rPr>
        <w:t xml:space="preserve"> </w:t>
      </w:r>
      <w:r w:rsidR="00034BE0" w:rsidRPr="001E62B0">
        <w:rPr>
          <w:rFonts w:ascii="Arial Narrow" w:hAnsi="Arial Narrow" w:cstheme="minorHAnsi"/>
        </w:rPr>
        <w:t xml:space="preserve">v </w:t>
      </w:r>
      <w:r w:rsidR="00BC2B2F" w:rsidRPr="001E62B0">
        <w:rPr>
          <w:rFonts w:ascii="Arial Narrow" w:hAnsi="Arial Narrow" w:cstheme="minorHAnsi"/>
        </w:rPr>
        <w:t>obdob</w:t>
      </w:r>
      <w:r w:rsidR="00034BE0" w:rsidRPr="001E62B0">
        <w:rPr>
          <w:rFonts w:ascii="Arial Narrow" w:hAnsi="Arial Narrow" w:cstheme="minorHAnsi"/>
        </w:rPr>
        <w:t>í</w:t>
      </w:r>
      <w:r w:rsidR="00BC2B2F" w:rsidRPr="001E62B0">
        <w:rPr>
          <w:rFonts w:ascii="Arial Narrow" w:hAnsi="Arial Narrow" w:cstheme="minorHAnsi"/>
        </w:rPr>
        <w:t xml:space="preserve"> od januára do júna roku N, a hodnota </w:t>
      </w:r>
      <w:r w:rsidR="00246EB3" w:rsidRPr="001E62B0">
        <w:rPr>
          <w:rFonts w:ascii="Arial Narrow" w:hAnsi="Arial Narrow" w:cstheme="minorHAnsi"/>
        </w:rPr>
        <w:t xml:space="preserve">uvedená </w:t>
      </w:r>
      <w:r w:rsidR="00BC2B2F" w:rsidRPr="001E62B0">
        <w:rPr>
          <w:rFonts w:ascii="Arial Narrow" w:hAnsi="Arial Narrow" w:cstheme="minorHAnsi"/>
        </w:rPr>
        <w:t xml:space="preserve">vo februári roku N+1 </w:t>
      </w:r>
      <w:r w:rsidR="00246EB3" w:rsidRPr="001E62B0">
        <w:rPr>
          <w:rFonts w:ascii="Arial Narrow" w:hAnsi="Arial Narrow" w:cstheme="minorHAnsi"/>
        </w:rPr>
        <w:t>by mala</w:t>
      </w:r>
      <w:r w:rsidR="00BC2B2F" w:rsidRPr="001E62B0">
        <w:rPr>
          <w:rFonts w:ascii="Arial Narrow" w:hAnsi="Arial Narrow" w:cstheme="minorHAnsi"/>
        </w:rPr>
        <w:t xml:space="preserve"> predstavovať výsledky opatrení, ktor</w:t>
      </w:r>
      <w:r w:rsidR="00AC49FF" w:rsidRPr="001E62B0">
        <w:rPr>
          <w:rFonts w:ascii="Arial Narrow" w:hAnsi="Arial Narrow" w:cstheme="minorHAnsi"/>
        </w:rPr>
        <w:t>ých</w:t>
      </w:r>
      <w:r w:rsidR="00BC2B2F" w:rsidRPr="001E62B0">
        <w:rPr>
          <w:rFonts w:ascii="Arial Narrow" w:hAnsi="Arial Narrow" w:cstheme="minorHAnsi"/>
        </w:rPr>
        <w:t xml:space="preserve"> </w:t>
      </w:r>
      <w:r w:rsidR="00246EB3" w:rsidRPr="001E62B0">
        <w:rPr>
          <w:rFonts w:ascii="Arial Narrow" w:hAnsi="Arial Narrow" w:cstheme="minorHAnsi"/>
        </w:rPr>
        <w:t xml:space="preserve">implementácia </w:t>
      </w:r>
      <w:r w:rsidR="00AC49FF" w:rsidRPr="001E62B0">
        <w:rPr>
          <w:rFonts w:ascii="Arial Narrow" w:hAnsi="Arial Narrow" w:cstheme="minorHAnsi"/>
        </w:rPr>
        <w:t xml:space="preserve">prebiehala </w:t>
      </w:r>
      <w:r w:rsidR="00F01CEB" w:rsidRPr="001E62B0">
        <w:rPr>
          <w:rFonts w:ascii="Arial Narrow" w:hAnsi="Arial Narrow" w:cstheme="minorHAnsi"/>
        </w:rPr>
        <w:t>v</w:t>
      </w:r>
      <w:r w:rsidR="00BC2B2F" w:rsidRPr="001E62B0">
        <w:rPr>
          <w:rFonts w:ascii="Arial Narrow" w:hAnsi="Arial Narrow" w:cstheme="minorHAnsi"/>
        </w:rPr>
        <w:t xml:space="preserve"> obdob</w:t>
      </w:r>
      <w:r w:rsidR="00F01CEB" w:rsidRPr="001E62B0">
        <w:rPr>
          <w:rFonts w:ascii="Arial Narrow" w:hAnsi="Arial Narrow" w:cstheme="minorHAnsi"/>
        </w:rPr>
        <w:t>í</w:t>
      </w:r>
      <w:r w:rsidR="00BC2B2F" w:rsidRPr="001E62B0">
        <w:rPr>
          <w:rFonts w:ascii="Arial Narrow" w:hAnsi="Arial Narrow" w:cstheme="minorHAnsi"/>
        </w:rPr>
        <w:t xml:space="preserve"> </w:t>
      </w:r>
      <w:r w:rsidR="00F07F1E" w:rsidRPr="001E62B0">
        <w:rPr>
          <w:rFonts w:ascii="Arial Narrow" w:hAnsi="Arial Narrow" w:cstheme="minorHAnsi"/>
        </w:rPr>
        <w:t>medzi júlom a decembrom roku N</w:t>
      </w:r>
      <w:r w:rsidR="00AC49FF" w:rsidRPr="001E62B0">
        <w:rPr>
          <w:rFonts w:ascii="Arial Narrow" w:hAnsi="Arial Narrow" w:cstheme="minorHAnsi"/>
        </w:rPr>
        <w:t>.</w:t>
      </w:r>
      <w:r w:rsidR="000E3DF9" w:rsidRPr="001E62B0">
        <w:rPr>
          <w:rStyle w:val="Odkaznapoznmkupodiarou"/>
          <w:rFonts w:ascii="Arial Narrow" w:hAnsi="Arial Narrow" w:cstheme="minorHAnsi"/>
        </w:rPr>
        <w:t xml:space="preserve"> </w:t>
      </w:r>
      <w:r w:rsidR="000E3DF9" w:rsidRPr="001E62B0">
        <w:rPr>
          <w:rStyle w:val="Odkaznapoznmkupodiarou"/>
          <w:rFonts w:ascii="Arial Narrow" w:hAnsi="Arial Narrow" w:cstheme="minorHAnsi"/>
        </w:rPr>
        <w:footnoteReference w:id="2"/>
      </w:r>
      <w:r w:rsidR="00AC49FF" w:rsidRPr="001E62B0">
        <w:rPr>
          <w:rFonts w:ascii="Arial Narrow" w:hAnsi="Arial Narrow" w:cstheme="minorHAnsi"/>
        </w:rPr>
        <w:t xml:space="preserve"> </w:t>
      </w:r>
    </w:p>
    <w:p w:rsidR="00547E6C" w:rsidRDefault="00FB43E0" w:rsidP="00547E6C">
      <w:pPr>
        <w:spacing w:after="120"/>
        <w:jc w:val="both"/>
        <w:rPr>
          <w:rFonts w:ascii="Arial Narrow" w:hAnsi="Arial Narrow" w:cstheme="minorHAnsi"/>
        </w:rPr>
      </w:pPr>
      <w:r>
        <w:rPr>
          <w:rFonts w:ascii="Arial Narrow" w:hAnsi="Arial Narrow" w:cstheme="minorHAnsi"/>
        </w:rPr>
        <w:t>Vykonávateli</w:t>
      </w:r>
      <w:r w:rsidR="00547E6C">
        <w:rPr>
          <w:rFonts w:ascii="Arial Narrow" w:hAnsi="Arial Narrow" w:cstheme="minorHAnsi"/>
        </w:rPr>
        <w:t>a</w:t>
      </w:r>
      <w:r>
        <w:rPr>
          <w:rFonts w:ascii="Arial Narrow" w:hAnsi="Arial Narrow" w:cstheme="minorHAnsi"/>
        </w:rPr>
        <w:t xml:space="preserve"> podávajú správy o p</w:t>
      </w:r>
      <w:r w:rsidR="00D07E13" w:rsidRPr="008F3BDC">
        <w:rPr>
          <w:rFonts w:ascii="Arial Narrow" w:hAnsi="Arial Narrow" w:cstheme="minorHAnsi"/>
        </w:rPr>
        <w:t>lnen</w:t>
      </w:r>
      <w:r>
        <w:rPr>
          <w:rFonts w:ascii="Arial Narrow" w:hAnsi="Arial Narrow" w:cstheme="minorHAnsi"/>
        </w:rPr>
        <w:t>í</w:t>
      </w:r>
      <w:r w:rsidR="00303918" w:rsidRPr="008F3BDC">
        <w:rPr>
          <w:rFonts w:ascii="Arial Narrow" w:hAnsi="Arial Narrow" w:cstheme="minorHAnsi"/>
        </w:rPr>
        <w:t xml:space="preserve"> spoločných ukazovateľov </w:t>
      </w:r>
      <w:r>
        <w:rPr>
          <w:rFonts w:ascii="Arial Narrow" w:hAnsi="Arial Narrow" w:cstheme="minorHAnsi"/>
        </w:rPr>
        <w:t>národnej implementačnej a </w:t>
      </w:r>
      <w:proofErr w:type="spellStart"/>
      <w:r>
        <w:rPr>
          <w:rFonts w:ascii="Arial Narrow" w:hAnsi="Arial Narrow" w:cstheme="minorHAnsi"/>
        </w:rPr>
        <w:t>koordonačnej</w:t>
      </w:r>
      <w:proofErr w:type="spellEnd"/>
      <w:r>
        <w:rPr>
          <w:rFonts w:ascii="Arial Narrow" w:hAnsi="Arial Narrow" w:cstheme="minorHAnsi"/>
        </w:rPr>
        <w:t xml:space="preserve"> autorite (ďalej len „NIKA“) </w:t>
      </w:r>
      <w:r w:rsidR="00CC3910">
        <w:rPr>
          <w:rFonts w:ascii="Arial Narrow" w:hAnsi="Arial Narrow" w:cstheme="minorHAnsi"/>
        </w:rPr>
        <w:t> ako prílohu</w:t>
      </w:r>
      <w:r w:rsidR="00303918" w:rsidRPr="008F3BDC">
        <w:rPr>
          <w:rFonts w:ascii="Arial Narrow" w:hAnsi="Arial Narrow" w:cstheme="minorHAnsi"/>
        </w:rPr>
        <w:t xml:space="preserve"> </w:t>
      </w:r>
      <w:r>
        <w:rPr>
          <w:rFonts w:ascii="Arial Narrow" w:hAnsi="Arial Narrow" w:cstheme="minorHAnsi"/>
        </w:rPr>
        <w:t xml:space="preserve">predkladaných </w:t>
      </w:r>
      <w:r w:rsidR="00303918" w:rsidRPr="008F3BDC">
        <w:rPr>
          <w:rFonts w:ascii="Arial Narrow" w:hAnsi="Arial Narrow" w:cstheme="minorHAnsi"/>
        </w:rPr>
        <w:t>monitorovacích správ</w:t>
      </w:r>
      <w:r>
        <w:rPr>
          <w:rFonts w:ascii="Arial Narrow" w:hAnsi="Arial Narrow" w:cstheme="minorHAnsi"/>
        </w:rPr>
        <w:t xml:space="preserve"> investícií a</w:t>
      </w:r>
      <w:r w:rsidR="00CC3910">
        <w:rPr>
          <w:rFonts w:ascii="Arial Narrow" w:hAnsi="Arial Narrow" w:cstheme="minorHAnsi"/>
        </w:rPr>
        <w:t> </w:t>
      </w:r>
      <w:r>
        <w:rPr>
          <w:rFonts w:ascii="Arial Narrow" w:hAnsi="Arial Narrow" w:cstheme="minorHAnsi"/>
        </w:rPr>
        <w:t>reforiem</w:t>
      </w:r>
      <w:r w:rsidR="00CC3910">
        <w:rPr>
          <w:rFonts w:ascii="Arial Narrow" w:hAnsi="Arial Narrow" w:cstheme="minorHAnsi"/>
        </w:rPr>
        <w:t>, a </w:t>
      </w:r>
      <w:r w:rsidR="00CC3910" w:rsidRPr="001E4E2F">
        <w:rPr>
          <w:rFonts w:ascii="Arial Narrow" w:hAnsi="Arial Narrow" w:cstheme="minorHAnsi"/>
        </w:rPr>
        <w:t xml:space="preserve">to </w:t>
      </w:r>
      <w:r w:rsidR="00CC3910" w:rsidRPr="001E4E2F">
        <w:rPr>
          <w:rFonts w:ascii="Arial Narrow" w:hAnsi="Arial Narrow" w:cstheme="minorHAnsi"/>
          <w:u w:val="single"/>
        </w:rPr>
        <w:t>jedenkrát za</w:t>
      </w:r>
      <w:r w:rsidR="00A45883" w:rsidRPr="001E4E2F">
        <w:rPr>
          <w:rFonts w:ascii="Arial Narrow" w:hAnsi="Arial Narrow" w:cstheme="minorHAnsi"/>
          <w:u w:val="single"/>
        </w:rPr>
        <w:t xml:space="preserve"> 6 mesiacov</w:t>
      </w:r>
      <w:r w:rsidR="00CC3910" w:rsidRPr="009F583F">
        <w:rPr>
          <w:rFonts w:ascii="Arial Narrow" w:hAnsi="Arial Narrow" w:cstheme="minorHAnsi"/>
        </w:rPr>
        <w:t xml:space="preserve"> (</w:t>
      </w:r>
      <w:r w:rsidR="00A45883" w:rsidRPr="009F583F">
        <w:rPr>
          <w:rFonts w:ascii="Arial Narrow" w:hAnsi="Arial Narrow" w:cstheme="minorHAnsi"/>
        </w:rPr>
        <w:t xml:space="preserve">v monitorovacej správe </w:t>
      </w:r>
      <w:r w:rsidR="009F583F" w:rsidRPr="009F583F">
        <w:rPr>
          <w:rFonts w:ascii="Arial Narrow" w:hAnsi="Arial Narrow" w:cstheme="minorHAnsi"/>
        </w:rPr>
        <w:t xml:space="preserve">investícií a reforiem </w:t>
      </w:r>
      <w:r w:rsidR="00A45883" w:rsidRPr="009F583F">
        <w:rPr>
          <w:rFonts w:ascii="Arial Narrow" w:hAnsi="Arial Narrow" w:cstheme="minorHAnsi"/>
        </w:rPr>
        <w:t>za december a v monitorovacej správe za jún príslušného roka</w:t>
      </w:r>
      <w:r w:rsidR="00CC3910" w:rsidRPr="009F583F">
        <w:rPr>
          <w:rFonts w:ascii="Arial Narrow" w:hAnsi="Arial Narrow" w:cstheme="minorHAnsi"/>
        </w:rPr>
        <w:t>).</w:t>
      </w:r>
      <w:r w:rsidR="00CC3910" w:rsidRPr="001E4E2F">
        <w:rPr>
          <w:rFonts w:ascii="Arial Narrow" w:hAnsi="Arial Narrow" w:cstheme="minorHAnsi"/>
        </w:rPr>
        <w:t xml:space="preserve"> Údaje</w:t>
      </w:r>
      <w:r w:rsidR="00CC3910">
        <w:rPr>
          <w:rFonts w:ascii="Arial Narrow" w:hAnsi="Arial Narrow" w:cstheme="minorHAnsi"/>
        </w:rPr>
        <w:t xml:space="preserve"> o</w:t>
      </w:r>
      <w:r w:rsidR="00CC3910" w:rsidRPr="008F3BDC">
        <w:rPr>
          <w:rFonts w:ascii="Arial Narrow" w:hAnsi="Arial Narrow" w:cstheme="minorHAnsi"/>
        </w:rPr>
        <w:t xml:space="preserve"> plnen</w:t>
      </w:r>
      <w:r w:rsidR="00CC3910">
        <w:rPr>
          <w:rFonts w:ascii="Arial Narrow" w:hAnsi="Arial Narrow" w:cstheme="minorHAnsi"/>
        </w:rPr>
        <w:t>í</w:t>
      </w:r>
      <w:r w:rsidR="00CC3910" w:rsidRPr="008F3BDC">
        <w:rPr>
          <w:rFonts w:ascii="Arial Narrow" w:hAnsi="Arial Narrow" w:cstheme="minorHAnsi"/>
        </w:rPr>
        <w:t xml:space="preserve"> spoločných ukazovateľov </w:t>
      </w:r>
      <w:r w:rsidR="00CC3910">
        <w:rPr>
          <w:rFonts w:ascii="Arial Narrow" w:hAnsi="Arial Narrow" w:cstheme="minorHAnsi"/>
        </w:rPr>
        <w:t>sa reportujú v </w:t>
      </w:r>
      <w:proofErr w:type="spellStart"/>
      <w:r w:rsidR="00CC3910">
        <w:rPr>
          <w:rFonts w:ascii="Arial Narrow" w:hAnsi="Arial Narrow" w:cstheme="minorHAnsi"/>
        </w:rPr>
        <w:t>tabulke</w:t>
      </w:r>
      <w:proofErr w:type="spellEnd"/>
      <w:r w:rsidR="00CC3910">
        <w:rPr>
          <w:rFonts w:ascii="Arial Narrow" w:hAnsi="Arial Narrow" w:cstheme="minorHAnsi"/>
        </w:rPr>
        <w:t>, ktorá je prílohou tohto usmernenia (</w:t>
      </w:r>
      <w:proofErr w:type="spellStart"/>
      <w:r w:rsidR="00CC3910">
        <w:rPr>
          <w:rFonts w:ascii="Arial Narrow" w:hAnsi="Arial Narrow" w:cstheme="minorHAnsi"/>
        </w:rPr>
        <w:t>Príloha_Report</w:t>
      </w:r>
      <w:proofErr w:type="spellEnd"/>
      <w:r w:rsidR="00CC3910">
        <w:rPr>
          <w:rFonts w:ascii="Arial Narrow" w:hAnsi="Arial Narrow" w:cstheme="minorHAnsi"/>
        </w:rPr>
        <w:t xml:space="preserve"> spoločných ukazovateľov)</w:t>
      </w:r>
      <w:r w:rsidR="00303918" w:rsidRPr="008F3BDC">
        <w:rPr>
          <w:rFonts w:ascii="Arial Narrow" w:hAnsi="Arial Narrow" w:cstheme="minorHAnsi"/>
        </w:rPr>
        <w:t>.</w:t>
      </w:r>
      <w:r w:rsidRPr="00FB43E0">
        <w:rPr>
          <w:rFonts w:ascii="Arial Narrow" w:hAnsi="Arial Narrow" w:cstheme="minorHAnsi"/>
        </w:rPr>
        <w:t xml:space="preserve"> Obsah prílohy je osobitne vo vzťahu ku každej investícii alebo reforme dohodnutý medzi NIKA a vykonávateľom, pričom sa zohľadňujú požiadavky EK na </w:t>
      </w:r>
      <w:r>
        <w:rPr>
          <w:rFonts w:ascii="Arial Narrow" w:hAnsi="Arial Narrow" w:cstheme="minorHAnsi"/>
        </w:rPr>
        <w:t xml:space="preserve">vykazovanie spoločných ukazovateľov uvedené v </w:t>
      </w:r>
      <w:r w:rsidRPr="008F3BDC">
        <w:rPr>
          <w:rFonts w:ascii="Arial Narrow" w:hAnsi="Arial Narrow" w:cstheme="minorHAnsi"/>
        </w:rPr>
        <w:t>delegovan</w:t>
      </w:r>
      <w:r>
        <w:rPr>
          <w:rFonts w:ascii="Arial Narrow" w:hAnsi="Arial Narrow" w:cstheme="minorHAnsi"/>
        </w:rPr>
        <w:t>om</w:t>
      </w:r>
      <w:r w:rsidRPr="008F3BDC">
        <w:rPr>
          <w:rFonts w:ascii="Arial Narrow" w:hAnsi="Arial Narrow" w:cstheme="minorHAnsi"/>
        </w:rPr>
        <w:t xml:space="preserve"> akt</w:t>
      </w:r>
      <w:r>
        <w:rPr>
          <w:rFonts w:ascii="Arial Narrow" w:hAnsi="Arial Narrow" w:cstheme="minorHAnsi"/>
        </w:rPr>
        <w:t>e</w:t>
      </w:r>
      <w:r w:rsidRPr="008F3BDC">
        <w:rPr>
          <w:rFonts w:ascii="Arial Narrow" w:hAnsi="Arial Narrow" w:cstheme="minorHAnsi"/>
        </w:rPr>
        <w:t xml:space="preserve"> Komisie (EÚ) č. 2021/2106</w:t>
      </w:r>
      <w:r>
        <w:rPr>
          <w:rFonts w:ascii="Arial Narrow" w:hAnsi="Arial Narrow" w:cstheme="minorHAnsi"/>
        </w:rPr>
        <w:t xml:space="preserve"> a</w:t>
      </w:r>
      <w:r w:rsidR="00902FF1">
        <w:rPr>
          <w:rFonts w:ascii="Arial Narrow" w:hAnsi="Arial Narrow" w:cstheme="minorHAnsi"/>
        </w:rPr>
        <w:t> v usmernení Komisie o spoločných ukazovateľoch plánu obnovy a odolnosti</w:t>
      </w:r>
      <w:r>
        <w:rPr>
          <w:rFonts w:ascii="Arial Narrow" w:hAnsi="Arial Narrow" w:cstheme="minorHAnsi"/>
        </w:rPr>
        <w:t xml:space="preserve">. </w:t>
      </w:r>
      <w:r w:rsidR="008211E0" w:rsidRPr="005978BC">
        <w:rPr>
          <w:rFonts w:ascii="Arial Narrow" w:hAnsi="Arial Narrow" w:cs="Arial"/>
        </w:rPr>
        <w:t xml:space="preserve">Vykonávateľ priebežne eviduje </w:t>
      </w:r>
      <w:r w:rsidR="00AC37B5">
        <w:rPr>
          <w:rFonts w:ascii="Arial Narrow" w:hAnsi="Arial Narrow" w:cs="Arial"/>
        </w:rPr>
        <w:t xml:space="preserve">dôkazy </w:t>
      </w:r>
      <w:r w:rsidR="00CC3910">
        <w:rPr>
          <w:rFonts w:ascii="Arial Narrow" w:hAnsi="Arial Narrow" w:cs="Arial"/>
        </w:rPr>
        <w:t xml:space="preserve">preukazujúce plnenie </w:t>
      </w:r>
      <w:r w:rsidR="008211E0">
        <w:rPr>
          <w:rFonts w:ascii="Arial Narrow" w:hAnsi="Arial Narrow" w:cs="Arial"/>
        </w:rPr>
        <w:t>spoločných ukazovateľo</w:t>
      </w:r>
      <w:r w:rsidR="00CC3910">
        <w:rPr>
          <w:rFonts w:ascii="Arial Narrow" w:hAnsi="Arial Narrow" w:cs="Arial"/>
        </w:rPr>
        <w:t>v (napr. menný zoznam žiakov participujúcich na doučovaní) pre prípad možnej kontroly a/alebo auditu</w:t>
      </w:r>
      <w:r w:rsidR="008211E0">
        <w:rPr>
          <w:rFonts w:ascii="Arial Narrow" w:hAnsi="Arial Narrow" w:cs="Arial"/>
        </w:rPr>
        <w:t xml:space="preserve">. </w:t>
      </w:r>
      <w:bookmarkStart w:id="9" w:name="_Toc95761569"/>
    </w:p>
    <w:p w:rsidR="00547E6C" w:rsidRDefault="00547E6C" w:rsidP="00547E6C">
      <w:pPr>
        <w:spacing w:after="120"/>
        <w:jc w:val="both"/>
        <w:rPr>
          <w:rFonts w:ascii="Arial Narrow" w:hAnsi="Arial Narrow" w:cstheme="minorHAnsi"/>
        </w:rPr>
      </w:pPr>
    </w:p>
    <w:p w:rsidR="00F72903" w:rsidRPr="008F3BDC" w:rsidRDefault="00E605E3" w:rsidP="00547E6C">
      <w:pPr>
        <w:spacing w:after="120"/>
        <w:jc w:val="both"/>
        <w:rPr>
          <w:rStyle w:val="Nadpis1Char"/>
          <w:rFonts w:ascii="Arial Narrow" w:hAnsi="Arial Narrow" w:cstheme="minorHAnsi"/>
          <w:b/>
          <w:color w:val="5B9BD5" w:themeColor="accent1"/>
          <w:sz w:val="24"/>
          <w:szCs w:val="24"/>
        </w:rPr>
      </w:pPr>
      <w:proofErr w:type="spellStart"/>
      <w:r w:rsidRPr="008F3BDC">
        <w:rPr>
          <w:rStyle w:val="Nadpis1Char"/>
          <w:rFonts w:ascii="Arial Narrow" w:hAnsi="Arial Narrow" w:cstheme="minorHAnsi"/>
          <w:b/>
          <w:color w:val="5B9BD5" w:themeColor="accent1"/>
          <w:sz w:val="24"/>
          <w:szCs w:val="24"/>
        </w:rPr>
        <w:t>Predikovanie</w:t>
      </w:r>
      <w:proofErr w:type="spellEnd"/>
      <w:r w:rsidRPr="008F3BDC">
        <w:rPr>
          <w:rStyle w:val="Nadpis1Char"/>
          <w:rFonts w:ascii="Arial Narrow" w:hAnsi="Arial Narrow" w:cstheme="minorHAnsi"/>
          <w:b/>
          <w:color w:val="5B9BD5" w:themeColor="accent1"/>
          <w:sz w:val="24"/>
          <w:szCs w:val="24"/>
        </w:rPr>
        <w:t xml:space="preserve"> vplyvu </w:t>
      </w:r>
      <w:r w:rsidR="00F72903" w:rsidRPr="008F3BDC">
        <w:rPr>
          <w:rStyle w:val="Nadpis1Char"/>
          <w:rFonts w:ascii="Arial Narrow" w:hAnsi="Arial Narrow" w:cstheme="minorHAnsi"/>
          <w:b/>
          <w:color w:val="5B9BD5" w:themeColor="accent1"/>
          <w:sz w:val="24"/>
          <w:szCs w:val="24"/>
        </w:rPr>
        <w:t xml:space="preserve"> realizovaných opatrení</w:t>
      </w:r>
      <w:bookmarkEnd w:id="9"/>
    </w:p>
    <w:p w:rsidR="00627B02" w:rsidRPr="008F3BDC" w:rsidRDefault="00F72903" w:rsidP="00F72903">
      <w:pPr>
        <w:spacing w:after="120"/>
        <w:jc w:val="both"/>
        <w:rPr>
          <w:rFonts w:ascii="Arial Narrow" w:hAnsi="Arial Narrow" w:cstheme="minorHAnsi"/>
        </w:rPr>
      </w:pPr>
      <w:r w:rsidRPr="008F3BDC">
        <w:rPr>
          <w:rFonts w:ascii="Arial Narrow" w:hAnsi="Arial Narrow" w:cstheme="minorHAnsi"/>
        </w:rPr>
        <w:t xml:space="preserve">Niektoré </w:t>
      </w:r>
      <w:r w:rsidR="0046753B" w:rsidRPr="008F3BDC">
        <w:rPr>
          <w:rFonts w:ascii="Arial Narrow" w:hAnsi="Arial Narrow" w:cstheme="minorHAnsi"/>
        </w:rPr>
        <w:t>spoločné ukazovatele</w:t>
      </w:r>
      <w:r w:rsidRPr="008F3BDC">
        <w:rPr>
          <w:rFonts w:ascii="Arial Narrow" w:hAnsi="Arial Narrow" w:cstheme="minorHAnsi"/>
        </w:rPr>
        <w:t xml:space="preserve"> môžu </w:t>
      </w:r>
      <w:r w:rsidR="00E605E3" w:rsidRPr="008F3BDC">
        <w:rPr>
          <w:rFonts w:ascii="Arial Narrow" w:hAnsi="Arial Narrow" w:cstheme="minorHAnsi"/>
        </w:rPr>
        <w:t xml:space="preserve">byť vykazované s časovým oneskorením, </w:t>
      </w:r>
      <w:r w:rsidR="0003334B" w:rsidRPr="008F3BDC">
        <w:rPr>
          <w:rFonts w:ascii="Arial Narrow" w:hAnsi="Arial Narrow" w:cstheme="minorHAnsi"/>
        </w:rPr>
        <w:t>ktoré predstavuje najmä obdobie medzi samotnou implementáciou p</w:t>
      </w:r>
      <w:r w:rsidRPr="008F3BDC">
        <w:rPr>
          <w:rFonts w:ascii="Arial Narrow" w:hAnsi="Arial Narrow" w:cstheme="minorHAnsi"/>
        </w:rPr>
        <w:t>rojekt</w:t>
      </w:r>
      <w:r w:rsidR="0003334B" w:rsidRPr="008F3BDC">
        <w:rPr>
          <w:rFonts w:ascii="Arial Narrow" w:hAnsi="Arial Narrow" w:cstheme="minorHAnsi"/>
        </w:rPr>
        <w:t>u</w:t>
      </w:r>
      <w:r w:rsidRPr="008F3BDC">
        <w:rPr>
          <w:rFonts w:ascii="Arial Narrow" w:hAnsi="Arial Narrow" w:cstheme="minorHAnsi"/>
        </w:rPr>
        <w:t xml:space="preserve"> alebo </w:t>
      </w:r>
      <w:r w:rsidR="0003334B" w:rsidRPr="008F3BDC">
        <w:rPr>
          <w:rFonts w:ascii="Arial Narrow" w:hAnsi="Arial Narrow" w:cstheme="minorHAnsi"/>
        </w:rPr>
        <w:t xml:space="preserve">momentom nadobudnutia platnosti </w:t>
      </w:r>
      <w:r w:rsidRPr="008F3BDC">
        <w:rPr>
          <w:rFonts w:ascii="Arial Narrow" w:hAnsi="Arial Narrow" w:cstheme="minorHAnsi"/>
        </w:rPr>
        <w:t>reform</w:t>
      </w:r>
      <w:r w:rsidR="0003334B" w:rsidRPr="008F3BDC">
        <w:rPr>
          <w:rFonts w:ascii="Arial Narrow" w:hAnsi="Arial Narrow" w:cstheme="minorHAnsi"/>
        </w:rPr>
        <w:t>y</w:t>
      </w:r>
      <w:r w:rsidRPr="008F3BDC">
        <w:rPr>
          <w:rFonts w:ascii="Arial Narrow" w:hAnsi="Arial Narrow" w:cstheme="minorHAnsi"/>
        </w:rPr>
        <w:t xml:space="preserve"> </w:t>
      </w:r>
      <w:r w:rsidR="0003334B" w:rsidRPr="008F3BDC">
        <w:rPr>
          <w:rFonts w:ascii="Arial Narrow" w:hAnsi="Arial Narrow" w:cstheme="minorHAnsi"/>
        </w:rPr>
        <w:t xml:space="preserve">a </w:t>
      </w:r>
      <w:r w:rsidRPr="008F3BDC">
        <w:rPr>
          <w:rFonts w:ascii="Arial Narrow" w:hAnsi="Arial Narrow" w:cstheme="minorHAnsi"/>
        </w:rPr>
        <w:t xml:space="preserve"> meran</w:t>
      </w:r>
      <w:r w:rsidR="0003334B" w:rsidRPr="008F3BDC">
        <w:rPr>
          <w:rFonts w:ascii="Arial Narrow" w:hAnsi="Arial Narrow" w:cstheme="minorHAnsi"/>
        </w:rPr>
        <w:t xml:space="preserve">ím </w:t>
      </w:r>
      <w:r w:rsidRPr="008F3BDC">
        <w:rPr>
          <w:rFonts w:ascii="Arial Narrow" w:hAnsi="Arial Narrow" w:cstheme="minorHAnsi"/>
        </w:rPr>
        <w:t xml:space="preserve"> ich skutočného </w:t>
      </w:r>
      <w:r w:rsidR="00E0174F" w:rsidRPr="008F3BDC">
        <w:rPr>
          <w:rFonts w:ascii="Arial Narrow" w:hAnsi="Arial Narrow" w:cstheme="minorHAnsi"/>
        </w:rPr>
        <w:t>dopadu</w:t>
      </w:r>
      <w:r w:rsidRPr="008F3BDC">
        <w:rPr>
          <w:rFonts w:ascii="Arial Narrow" w:hAnsi="Arial Narrow" w:cstheme="minorHAnsi"/>
        </w:rPr>
        <w:t xml:space="preserve">. </w:t>
      </w:r>
      <w:r w:rsidR="0046753B" w:rsidRPr="008F3BDC">
        <w:rPr>
          <w:rFonts w:ascii="Arial Narrow" w:hAnsi="Arial Narrow" w:cstheme="minorHAnsi"/>
        </w:rPr>
        <w:t xml:space="preserve">Preto je </w:t>
      </w:r>
      <w:r w:rsidRPr="008F3BDC">
        <w:rPr>
          <w:rFonts w:ascii="Arial Narrow" w:hAnsi="Arial Narrow" w:cstheme="minorHAnsi"/>
        </w:rPr>
        <w:t xml:space="preserve">možnosť použiť pri </w:t>
      </w:r>
      <w:r w:rsidR="00E0174F" w:rsidRPr="008F3BDC">
        <w:rPr>
          <w:rFonts w:ascii="Arial Narrow" w:hAnsi="Arial Narrow" w:cstheme="minorHAnsi"/>
        </w:rPr>
        <w:t xml:space="preserve">ich </w:t>
      </w:r>
      <w:r w:rsidRPr="008F3BDC">
        <w:rPr>
          <w:rFonts w:ascii="Arial Narrow" w:hAnsi="Arial Narrow" w:cstheme="minorHAnsi"/>
        </w:rPr>
        <w:t xml:space="preserve">prvom </w:t>
      </w:r>
      <w:r w:rsidR="00E27F25" w:rsidRPr="008F3BDC">
        <w:rPr>
          <w:rFonts w:ascii="Arial Narrow" w:hAnsi="Arial Narrow" w:cstheme="minorHAnsi"/>
        </w:rPr>
        <w:t xml:space="preserve">reportovaní </w:t>
      </w:r>
      <w:r w:rsidRPr="008F3BDC">
        <w:rPr>
          <w:rFonts w:ascii="Arial Narrow" w:hAnsi="Arial Narrow" w:cstheme="minorHAnsi"/>
        </w:rPr>
        <w:t xml:space="preserve">odhad. </w:t>
      </w:r>
    </w:p>
    <w:p w:rsidR="00F72903" w:rsidRPr="008F3BDC" w:rsidRDefault="00627B02" w:rsidP="00F72903">
      <w:pPr>
        <w:spacing w:after="120"/>
        <w:jc w:val="both"/>
        <w:rPr>
          <w:rFonts w:ascii="Arial Narrow" w:hAnsi="Arial Narrow" w:cstheme="minorHAnsi"/>
        </w:rPr>
      </w:pPr>
      <w:r w:rsidRPr="008F3BDC">
        <w:rPr>
          <w:rFonts w:ascii="Arial Narrow" w:hAnsi="Arial Narrow" w:cstheme="minorHAnsi"/>
        </w:rPr>
        <w:t>Pri použití predikcie vplyvu op</w:t>
      </w:r>
      <w:r w:rsidR="00414B0F" w:rsidRPr="008F3BDC">
        <w:rPr>
          <w:rFonts w:ascii="Arial Narrow" w:hAnsi="Arial Narrow" w:cstheme="minorHAnsi"/>
        </w:rPr>
        <w:t>a</w:t>
      </w:r>
      <w:r w:rsidRPr="008F3BDC">
        <w:rPr>
          <w:rFonts w:ascii="Arial Narrow" w:hAnsi="Arial Narrow" w:cstheme="minorHAnsi"/>
        </w:rPr>
        <w:t>trení musí byť</w:t>
      </w:r>
      <w:r w:rsidR="00F72903" w:rsidRPr="008F3BDC">
        <w:rPr>
          <w:rFonts w:ascii="Arial Narrow" w:hAnsi="Arial Narrow" w:cstheme="minorHAnsi"/>
        </w:rPr>
        <w:t xml:space="preserve"> použitá metodika</w:t>
      </w:r>
      <w:r w:rsidR="000A4769" w:rsidRPr="008F3BDC">
        <w:rPr>
          <w:rFonts w:ascii="Arial Narrow" w:hAnsi="Arial Narrow" w:cstheme="minorHAnsi"/>
        </w:rPr>
        <w:t xml:space="preserve">, ktorá bude komunikovaná s </w:t>
      </w:r>
      <w:r w:rsidRPr="008F3BDC">
        <w:rPr>
          <w:rFonts w:ascii="Arial Narrow" w:hAnsi="Arial Narrow" w:cstheme="minorHAnsi"/>
        </w:rPr>
        <w:t>EK</w:t>
      </w:r>
      <w:r w:rsidR="00F72903" w:rsidRPr="008F3BDC">
        <w:rPr>
          <w:rFonts w:ascii="Arial Narrow" w:hAnsi="Arial Narrow" w:cstheme="minorHAnsi"/>
        </w:rPr>
        <w:t xml:space="preserve">. Cieľom </w:t>
      </w:r>
      <w:proofErr w:type="spellStart"/>
      <w:r w:rsidR="00E27F25" w:rsidRPr="008F3BDC">
        <w:rPr>
          <w:rFonts w:ascii="Arial Narrow" w:hAnsi="Arial Narrow" w:cstheme="minorHAnsi"/>
        </w:rPr>
        <w:t>predikovan</w:t>
      </w:r>
      <w:r w:rsidR="000A4769" w:rsidRPr="008F3BDC">
        <w:rPr>
          <w:rFonts w:ascii="Arial Narrow" w:hAnsi="Arial Narrow" w:cstheme="minorHAnsi"/>
        </w:rPr>
        <w:t>ia</w:t>
      </w:r>
      <w:proofErr w:type="spellEnd"/>
      <w:r w:rsidR="00F72903" w:rsidRPr="008F3BDC">
        <w:rPr>
          <w:rFonts w:ascii="Arial Narrow" w:hAnsi="Arial Narrow" w:cstheme="minorHAnsi"/>
        </w:rPr>
        <w:t xml:space="preserve"> údajov je čo najskôr podať správu o potenciálnom vplyve dosiahnutých výsledkov. Takéto </w:t>
      </w:r>
      <w:proofErr w:type="spellStart"/>
      <w:r w:rsidR="00E27F25" w:rsidRPr="008F3BDC">
        <w:rPr>
          <w:rFonts w:ascii="Arial Narrow" w:hAnsi="Arial Narrow" w:cstheme="minorHAnsi"/>
        </w:rPr>
        <w:t>predikované</w:t>
      </w:r>
      <w:proofErr w:type="spellEnd"/>
      <w:r w:rsidR="00E27F25" w:rsidRPr="008F3BDC">
        <w:rPr>
          <w:rFonts w:ascii="Arial Narrow" w:hAnsi="Arial Narrow" w:cstheme="minorHAnsi"/>
        </w:rPr>
        <w:t xml:space="preserve"> </w:t>
      </w:r>
      <w:r w:rsidR="00F72903" w:rsidRPr="008F3BDC">
        <w:rPr>
          <w:rFonts w:ascii="Arial Narrow" w:hAnsi="Arial Narrow" w:cstheme="minorHAnsi"/>
        </w:rPr>
        <w:t xml:space="preserve"> údaje</w:t>
      </w:r>
      <w:r w:rsidR="00054B33" w:rsidRPr="008F3BDC">
        <w:rPr>
          <w:rFonts w:ascii="Arial Narrow" w:hAnsi="Arial Narrow" w:cstheme="minorHAnsi"/>
        </w:rPr>
        <w:t xml:space="preserve"> budú </w:t>
      </w:r>
      <w:r w:rsidR="00E27F25" w:rsidRPr="008F3BDC">
        <w:rPr>
          <w:rFonts w:ascii="Arial Narrow" w:hAnsi="Arial Narrow" w:cstheme="minorHAnsi"/>
        </w:rPr>
        <w:t xml:space="preserve">následne </w:t>
      </w:r>
      <w:r w:rsidR="00054B33" w:rsidRPr="008F3BDC">
        <w:rPr>
          <w:rFonts w:ascii="Arial Narrow" w:hAnsi="Arial Narrow" w:cstheme="minorHAnsi"/>
        </w:rPr>
        <w:t>uprav</w:t>
      </w:r>
      <w:r w:rsidR="00E27F25" w:rsidRPr="008F3BDC">
        <w:rPr>
          <w:rFonts w:ascii="Arial Narrow" w:hAnsi="Arial Narrow" w:cstheme="minorHAnsi"/>
        </w:rPr>
        <w:t>ené v momente</w:t>
      </w:r>
      <w:r w:rsidR="00F72903" w:rsidRPr="008F3BDC">
        <w:rPr>
          <w:rFonts w:ascii="Arial Narrow" w:hAnsi="Arial Narrow" w:cstheme="minorHAnsi"/>
        </w:rPr>
        <w:t xml:space="preserve">, keď </w:t>
      </w:r>
      <w:r w:rsidR="00054B33" w:rsidRPr="008F3BDC">
        <w:rPr>
          <w:rFonts w:ascii="Arial Narrow" w:hAnsi="Arial Narrow" w:cstheme="minorHAnsi"/>
        </w:rPr>
        <w:t>budú</w:t>
      </w:r>
      <w:r w:rsidR="00E27F25" w:rsidRPr="008F3BDC">
        <w:rPr>
          <w:rFonts w:ascii="Arial Narrow" w:hAnsi="Arial Narrow" w:cstheme="minorHAnsi"/>
        </w:rPr>
        <w:t xml:space="preserve"> </w:t>
      </w:r>
      <w:r w:rsidR="00F72903" w:rsidRPr="008F3BDC">
        <w:rPr>
          <w:rFonts w:ascii="Arial Narrow" w:hAnsi="Arial Narrow" w:cstheme="minorHAnsi"/>
        </w:rPr>
        <w:t xml:space="preserve">dostupné </w:t>
      </w:r>
      <w:r w:rsidR="00E27F25" w:rsidRPr="008F3BDC">
        <w:rPr>
          <w:rFonts w:ascii="Arial Narrow" w:hAnsi="Arial Narrow" w:cstheme="minorHAnsi"/>
        </w:rPr>
        <w:t>reálne</w:t>
      </w:r>
      <w:r w:rsidR="00F72903" w:rsidRPr="008F3BDC">
        <w:rPr>
          <w:rFonts w:ascii="Arial Narrow" w:hAnsi="Arial Narrow" w:cstheme="minorHAnsi"/>
        </w:rPr>
        <w:t xml:space="preserve"> údaje.</w:t>
      </w:r>
    </w:p>
    <w:p w:rsidR="00F72903" w:rsidRPr="008F3BDC" w:rsidRDefault="000A4769" w:rsidP="00F72903">
      <w:pPr>
        <w:spacing w:after="120"/>
        <w:jc w:val="both"/>
        <w:rPr>
          <w:rFonts w:ascii="Arial Narrow" w:hAnsi="Arial Narrow" w:cstheme="minorHAnsi"/>
        </w:rPr>
      </w:pPr>
      <w:r w:rsidRPr="008F3BDC">
        <w:rPr>
          <w:rFonts w:ascii="Arial Narrow" w:hAnsi="Arial Narrow" w:cstheme="minorHAnsi"/>
        </w:rPr>
        <w:t xml:space="preserve">V </w:t>
      </w:r>
      <w:r w:rsidR="00F72903" w:rsidRPr="008F3BDC">
        <w:rPr>
          <w:rFonts w:ascii="Arial Narrow" w:hAnsi="Arial Narrow" w:cstheme="minorHAnsi"/>
        </w:rPr>
        <w:t>prípadoch, keď skutočný vplyv možno merať len s časovým oneskorením, je systém podávania správ o výkonnosti založený na dvo</w:t>
      </w:r>
      <w:r w:rsidRPr="008F3BDC">
        <w:rPr>
          <w:rFonts w:ascii="Arial Narrow" w:hAnsi="Arial Narrow" w:cstheme="minorHAnsi"/>
        </w:rPr>
        <w:t xml:space="preserve">jfázovom </w:t>
      </w:r>
      <w:r w:rsidR="00F72903" w:rsidRPr="008F3BDC">
        <w:rPr>
          <w:rFonts w:ascii="Arial Narrow" w:hAnsi="Arial Narrow" w:cstheme="minorHAnsi"/>
        </w:rPr>
        <w:t>prístupe:</w:t>
      </w:r>
    </w:p>
    <w:p w:rsidR="00C37D49" w:rsidRPr="008F3BDC" w:rsidRDefault="00F72903" w:rsidP="0002197E">
      <w:pPr>
        <w:pStyle w:val="Odsekzoznamu"/>
        <w:numPr>
          <w:ilvl w:val="0"/>
          <w:numId w:val="19"/>
        </w:numPr>
        <w:spacing w:after="120"/>
        <w:jc w:val="both"/>
        <w:rPr>
          <w:rFonts w:ascii="Arial Narrow" w:hAnsi="Arial Narrow" w:cstheme="minorHAnsi"/>
        </w:rPr>
      </w:pPr>
      <w:r w:rsidRPr="008F3BDC">
        <w:rPr>
          <w:rFonts w:ascii="Arial Narrow" w:hAnsi="Arial Narrow" w:cstheme="minorHAnsi"/>
        </w:rPr>
        <w:t xml:space="preserve">prvá </w:t>
      </w:r>
      <w:r w:rsidR="00C8304E" w:rsidRPr="008F3BDC">
        <w:rPr>
          <w:rFonts w:ascii="Arial Narrow" w:hAnsi="Arial Narrow" w:cstheme="minorHAnsi"/>
        </w:rPr>
        <w:t>fáza</w:t>
      </w:r>
      <w:r w:rsidR="00627B02" w:rsidRPr="008F3BDC">
        <w:rPr>
          <w:rFonts w:ascii="Arial Narrow" w:hAnsi="Arial Narrow" w:cstheme="minorHAnsi"/>
        </w:rPr>
        <w:t xml:space="preserve"> </w:t>
      </w:r>
      <w:r w:rsidR="008211E0">
        <w:rPr>
          <w:rFonts w:ascii="Arial Narrow" w:hAnsi="Arial Narrow" w:cstheme="minorHAnsi"/>
        </w:rPr>
        <w:t>–</w:t>
      </w:r>
      <w:r w:rsidR="00627B02" w:rsidRPr="008F3BDC">
        <w:rPr>
          <w:rFonts w:ascii="Arial Narrow" w:hAnsi="Arial Narrow" w:cstheme="minorHAnsi"/>
        </w:rPr>
        <w:t xml:space="preserve"> </w:t>
      </w:r>
      <w:r w:rsidR="00054B33" w:rsidRPr="008F3BDC">
        <w:rPr>
          <w:rFonts w:ascii="Arial Narrow" w:hAnsi="Arial Narrow" w:cstheme="minorHAnsi"/>
        </w:rPr>
        <w:t>vykonávateľ p</w:t>
      </w:r>
      <w:r w:rsidRPr="008F3BDC">
        <w:rPr>
          <w:rFonts w:ascii="Arial Narrow" w:hAnsi="Arial Narrow" w:cstheme="minorHAnsi"/>
        </w:rPr>
        <w:t>oskytne svoje odhady a</w:t>
      </w:r>
      <w:r w:rsidR="008211E0">
        <w:rPr>
          <w:rFonts w:ascii="Arial Narrow" w:hAnsi="Arial Narrow" w:cstheme="minorHAnsi"/>
        </w:rPr>
        <w:t> </w:t>
      </w:r>
      <w:r w:rsidR="008211E0" w:rsidRPr="008F3BDC">
        <w:rPr>
          <w:rFonts w:ascii="Arial Narrow" w:hAnsi="Arial Narrow" w:cstheme="minorHAnsi"/>
        </w:rPr>
        <w:t>súvisiac</w:t>
      </w:r>
      <w:r w:rsidR="008211E0">
        <w:rPr>
          <w:rFonts w:ascii="Arial Narrow" w:hAnsi="Arial Narrow" w:cstheme="minorHAnsi"/>
        </w:rPr>
        <w:t xml:space="preserve">u metodiku určenia </w:t>
      </w:r>
      <w:r w:rsidRPr="008F3BDC">
        <w:rPr>
          <w:rFonts w:ascii="Arial Narrow" w:hAnsi="Arial Narrow" w:cstheme="minorHAnsi"/>
        </w:rPr>
        <w:t>potenciálne</w:t>
      </w:r>
      <w:r w:rsidR="008211E0">
        <w:rPr>
          <w:rFonts w:ascii="Arial Narrow" w:hAnsi="Arial Narrow" w:cstheme="minorHAnsi"/>
        </w:rPr>
        <w:t>ho</w:t>
      </w:r>
      <w:r w:rsidRPr="008F3BDC">
        <w:rPr>
          <w:rFonts w:ascii="Arial Narrow" w:hAnsi="Arial Narrow" w:cstheme="minorHAnsi"/>
        </w:rPr>
        <w:t xml:space="preserve"> vplyvu</w:t>
      </w:r>
      <w:r w:rsidR="008D2DC2">
        <w:rPr>
          <w:rFonts w:ascii="Arial Narrow" w:hAnsi="Arial Narrow" w:cstheme="minorHAnsi"/>
        </w:rPr>
        <w:t>,</w:t>
      </w:r>
    </w:p>
    <w:p w:rsidR="00C37D49" w:rsidRPr="008F3BDC" w:rsidRDefault="00F72903" w:rsidP="0002197E">
      <w:pPr>
        <w:pStyle w:val="Odsekzoznamu"/>
        <w:numPr>
          <w:ilvl w:val="0"/>
          <w:numId w:val="19"/>
        </w:numPr>
        <w:spacing w:after="0"/>
        <w:ind w:left="714" w:hanging="357"/>
        <w:jc w:val="both"/>
      </w:pPr>
      <w:r w:rsidRPr="008F3BDC">
        <w:rPr>
          <w:rFonts w:ascii="Arial Narrow" w:hAnsi="Arial Narrow" w:cstheme="minorHAnsi"/>
        </w:rPr>
        <w:t>druhá fáza</w:t>
      </w:r>
      <w:r w:rsidR="00627B02" w:rsidRPr="008F3BDC">
        <w:rPr>
          <w:rFonts w:ascii="Arial Narrow" w:hAnsi="Arial Narrow" w:cstheme="minorHAnsi"/>
        </w:rPr>
        <w:t xml:space="preserve"> </w:t>
      </w:r>
      <w:r w:rsidR="008211E0">
        <w:rPr>
          <w:rFonts w:ascii="Arial Narrow" w:hAnsi="Arial Narrow" w:cstheme="minorHAnsi"/>
        </w:rPr>
        <w:t>–</w:t>
      </w:r>
      <w:r w:rsidRPr="008F3BDC">
        <w:rPr>
          <w:rFonts w:ascii="Arial Narrow" w:hAnsi="Arial Narrow" w:cstheme="minorHAnsi"/>
        </w:rPr>
        <w:t xml:space="preserve"> v každom polročnom vykazovacom období sa </w:t>
      </w:r>
      <w:r w:rsidR="00C8304E" w:rsidRPr="008F3BDC">
        <w:rPr>
          <w:rFonts w:ascii="Arial Narrow" w:hAnsi="Arial Narrow" w:cstheme="minorHAnsi"/>
        </w:rPr>
        <w:t xml:space="preserve">predchádzajúce </w:t>
      </w:r>
      <w:r w:rsidRPr="008F3BDC">
        <w:rPr>
          <w:rFonts w:ascii="Arial Narrow" w:hAnsi="Arial Narrow" w:cstheme="minorHAnsi"/>
        </w:rPr>
        <w:t>odhady upravia a</w:t>
      </w:r>
      <w:r w:rsidR="00C8304E" w:rsidRPr="008F3BDC">
        <w:rPr>
          <w:rFonts w:ascii="Arial Narrow" w:hAnsi="Arial Narrow" w:cstheme="minorHAnsi"/>
        </w:rPr>
        <w:t> nahradia</w:t>
      </w:r>
      <w:r w:rsidRPr="008F3BDC">
        <w:rPr>
          <w:rFonts w:ascii="Arial Narrow" w:hAnsi="Arial Narrow" w:cstheme="minorHAnsi"/>
        </w:rPr>
        <w:t xml:space="preserve"> skutočnými údajmi.</w:t>
      </w:r>
    </w:p>
    <w:p w:rsidR="00C30007" w:rsidRPr="008F3BDC" w:rsidRDefault="00C30007" w:rsidP="0002197E">
      <w:pPr>
        <w:pStyle w:val="Odsekzoznamu"/>
        <w:numPr>
          <w:ilvl w:val="0"/>
          <w:numId w:val="18"/>
        </w:numPr>
        <w:spacing w:before="480" w:after="240"/>
        <w:ind w:left="714" w:hanging="357"/>
        <w:contextualSpacing w:val="0"/>
        <w:rPr>
          <w:rStyle w:val="Nadpis1Char"/>
          <w:rFonts w:ascii="Arial Narrow" w:hAnsi="Arial Narrow" w:cstheme="minorHAnsi"/>
          <w:b/>
          <w:color w:val="5B9BD5" w:themeColor="accent1"/>
          <w:sz w:val="24"/>
          <w:szCs w:val="24"/>
        </w:rPr>
      </w:pPr>
      <w:bookmarkStart w:id="10" w:name="_Toc95761570"/>
      <w:r w:rsidRPr="008F3BDC">
        <w:rPr>
          <w:rStyle w:val="Nadpis1Char"/>
          <w:rFonts w:ascii="Arial Narrow" w:hAnsi="Arial Narrow" w:cstheme="minorHAnsi"/>
          <w:b/>
          <w:color w:val="5B9BD5" w:themeColor="accent1"/>
          <w:sz w:val="24"/>
          <w:szCs w:val="24"/>
        </w:rPr>
        <w:t xml:space="preserve">Metodika </w:t>
      </w:r>
      <w:r w:rsidR="002F1BD7" w:rsidRPr="008F3BDC">
        <w:rPr>
          <w:rStyle w:val="Nadpis1Char"/>
          <w:rFonts w:ascii="Arial Narrow" w:hAnsi="Arial Narrow" w:cstheme="minorHAnsi"/>
          <w:b/>
          <w:color w:val="5B9BD5" w:themeColor="accent1"/>
          <w:sz w:val="24"/>
          <w:szCs w:val="24"/>
        </w:rPr>
        <w:t>výpočtu</w:t>
      </w:r>
      <w:bookmarkEnd w:id="10"/>
    </w:p>
    <w:p w:rsidR="00C30007" w:rsidRPr="008F3BDC" w:rsidRDefault="00C30007" w:rsidP="00C30007">
      <w:pPr>
        <w:spacing w:after="120"/>
        <w:jc w:val="both"/>
        <w:rPr>
          <w:rFonts w:ascii="Arial Narrow" w:hAnsi="Arial Narrow" w:cstheme="minorHAnsi"/>
        </w:rPr>
      </w:pPr>
      <w:r w:rsidRPr="008F3BDC">
        <w:rPr>
          <w:rFonts w:ascii="Arial Narrow" w:hAnsi="Arial Narrow" w:cstheme="minorHAnsi"/>
        </w:rPr>
        <w:t>Cieľom vykazovania spoločných ukazovateľov je zachytiť pozitívny vplyv</w:t>
      </w:r>
      <w:r w:rsidR="009A31BD" w:rsidRPr="008F3BDC">
        <w:rPr>
          <w:rFonts w:ascii="Arial Narrow" w:hAnsi="Arial Narrow" w:cstheme="minorHAnsi"/>
        </w:rPr>
        <w:t xml:space="preserve"> realizovaných </w:t>
      </w:r>
      <w:r w:rsidRPr="008F3BDC">
        <w:rPr>
          <w:rFonts w:ascii="Arial Narrow" w:hAnsi="Arial Narrow" w:cstheme="minorHAnsi"/>
        </w:rPr>
        <w:t xml:space="preserve">opatrení. </w:t>
      </w:r>
      <w:r w:rsidR="009A31BD" w:rsidRPr="008F3BDC">
        <w:rPr>
          <w:rFonts w:ascii="Arial Narrow" w:hAnsi="Arial Narrow" w:cstheme="minorHAnsi"/>
        </w:rPr>
        <w:t xml:space="preserve">Pri </w:t>
      </w:r>
      <w:r w:rsidR="008D2DC2">
        <w:rPr>
          <w:rFonts w:ascii="Arial Narrow" w:hAnsi="Arial Narrow" w:cstheme="minorHAnsi"/>
        </w:rPr>
        <w:t>stanovení</w:t>
      </w:r>
      <w:r w:rsidR="008D2DC2" w:rsidRPr="008F3BDC">
        <w:rPr>
          <w:rFonts w:ascii="Arial Narrow" w:hAnsi="Arial Narrow" w:cstheme="minorHAnsi"/>
        </w:rPr>
        <w:t xml:space="preserve"> </w:t>
      </w:r>
      <w:r w:rsidR="009A31BD" w:rsidRPr="008F3BDC">
        <w:rPr>
          <w:rFonts w:ascii="Arial Narrow" w:hAnsi="Arial Narrow" w:cstheme="minorHAnsi"/>
        </w:rPr>
        <w:t xml:space="preserve">hodnoty ukazovateľa by </w:t>
      </w:r>
      <w:r w:rsidRPr="008F3BDC">
        <w:rPr>
          <w:rFonts w:ascii="Arial Narrow" w:hAnsi="Arial Narrow" w:cstheme="minorHAnsi"/>
        </w:rPr>
        <w:t xml:space="preserve"> malo </w:t>
      </w:r>
      <w:r w:rsidR="009A31BD" w:rsidRPr="008F3BDC">
        <w:rPr>
          <w:rFonts w:ascii="Arial Narrow" w:hAnsi="Arial Narrow" w:cstheme="minorHAnsi"/>
        </w:rPr>
        <w:t xml:space="preserve">byť </w:t>
      </w:r>
      <w:r w:rsidRPr="008F3BDC">
        <w:rPr>
          <w:rFonts w:ascii="Arial Narrow" w:hAnsi="Arial Narrow" w:cstheme="minorHAnsi"/>
        </w:rPr>
        <w:t>zabezpeč</w:t>
      </w:r>
      <w:r w:rsidR="009A31BD" w:rsidRPr="008F3BDC">
        <w:rPr>
          <w:rFonts w:ascii="Arial Narrow" w:hAnsi="Arial Narrow" w:cstheme="minorHAnsi"/>
        </w:rPr>
        <w:t>ené</w:t>
      </w:r>
      <w:r w:rsidRPr="008F3BDC">
        <w:rPr>
          <w:rFonts w:ascii="Arial Narrow" w:hAnsi="Arial Narrow" w:cstheme="minorHAnsi"/>
        </w:rPr>
        <w:t xml:space="preserve">, aby subjekt (osoba, podnik) </w:t>
      </w:r>
      <w:r w:rsidR="00F10951" w:rsidRPr="008F3BDC">
        <w:rPr>
          <w:rFonts w:ascii="Arial Narrow" w:hAnsi="Arial Narrow" w:cstheme="minorHAnsi"/>
        </w:rPr>
        <w:t xml:space="preserve">bol </w:t>
      </w:r>
      <w:r w:rsidRPr="008F3BDC">
        <w:rPr>
          <w:rFonts w:ascii="Arial Narrow" w:hAnsi="Arial Narrow" w:cstheme="minorHAnsi"/>
        </w:rPr>
        <w:t>vykazova</w:t>
      </w:r>
      <w:r w:rsidR="00F10951" w:rsidRPr="008F3BDC">
        <w:rPr>
          <w:rFonts w:ascii="Arial Narrow" w:hAnsi="Arial Narrow" w:cstheme="minorHAnsi"/>
        </w:rPr>
        <w:t>ný</w:t>
      </w:r>
      <w:r w:rsidRPr="008F3BDC">
        <w:rPr>
          <w:rFonts w:ascii="Arial Narrow" w:hAnsi="Arial Narrow" w:cstheme="minorHAnsi"/>
        </w:rPr>
        <w:t xml:space="preserve"> iba raz za opatrenie </w:t>
      </w:r>
      <w:r w:rsidRPr="008F3BDC">
        <w:rPr>
          <w:rFonts w:ascii="Arial Narrow" w:hAnsi="Arial Narrow" w:cstheme="minorHAnsi"/>
        </w:rPr>
        <w:lastRenderedPageBreak/>
        <w:t>za vykazované obdobie, bez ohľadu na to, koľkokrát</w:t>
      </w:r>
      <w:r w:rsidR="00036706" w:rsidRPr="008F3BDC">
        <w:rPr>
          <w:rStyle w:val="Odkaznapoznmkupodiarou"/>
          <w:rFonts w:ascii="Arial Narrow" w:hAnsi="Arial Narrow" w:cstheme="minorHAnsi"/>
        </w:rPr>
        <w:footnoteReference w:id="3"/>
      </w:r>
      <w:r w:rsidRPr="008F3BDC">
        <w:rPr>
          <w:rFonts w:ascii="Arial Narrow" w:hAnsi="Arial Narrow" w:cstheme="minorHAnsi"/>
        </w:rPr>
        <w:t xml:space="preserve"> dostane podporu alebo</w:t>
      </w:r>
      <w:r w:rsidR="00F10951" w:rsidRPr="008F3BDC">
        <w:rPr>
          <w:rFonts w:ascii="Arial Narrow" w:hAnsi="Arial Narrow" w:cstheme="minorHAnsi"/>
        </w:rPr>
        <w:t xml:space="preserve"> koľkokrát </w:t>
      </w:r>
      <w:r w:rsidRPr="008F3BDC">
        <w:rPr>
          <w:rFonts w:ascii="Arial Narrow" w:hAnsi="Arial Narrow" w:cstheme="minorHAnsi"/>
        </w:rPr>
        <w:t xml:space="preserve"> sa zúčastní na konkrétnom opatrení v rámci </w:t>
      </w:r>
      <w:r w:rsidR="00F10951" w:rsidRPr="008F3BDC">
        <w:rPr>
          <w:rFonts w:ascii="Arial Narrow" w:hAnsi="Arial Narrow" w:cstheme="minorHAnsi"/>
        </w:rPr>
        <w:t xml:space="preserve">implementácie </w:t>
      </w:r>
      <w:r w:rsidR="00627B02" w:rsidRPr="008F3BDC">
        <w:rPr>
          <w:rFonts w:ascii="Arial Narrow" w:hAnsi="Arial Narrow" w:cstheme="minorHAnsi"/>
        </w:rPr>
        <w:t>Plánu obnovy a odolnosti SR</w:t>
      </w:r>
      <w:r w:rsidRPr="008F3BDC">
        <w:rPr>
          <w:rFonts w:ascii="Arial Narrow" w:hAnsi="Arial Narrow" w:cstheme="minorHAnsi"/>
        </w:rPr>
        <w:t xml:space="preserve">, pokiaľ nie je </w:t>
      </w:r>
      <w:r w:rsidR="00F10951" w:rsidRPr="008F3BDC">
        <w:rPr>
          <w:rFonts w:ascii="Arial Narrow" w:hAnsi="Arial Narrow" w:cstheme="minorHAnsi"/>
        </w:rPr>
        <w:t>v definícii</w:t>
      </w:r>
      <w:r w:rsidRPr="008F3BDC">
        <w:rPr>
          <w:rFonts w:ascii="Arial Narrow" w:hAnsi="Arial Narrow" w:cstheme="minorHAnsi"/>
        </w:rPr>
        <w:t xml:space="preserve"> ukazovate</w:t>
      </w:r>
      <w:r w:rsidR="00F10951" w:rsidRPr="008F3BDC">
        <w:rPr>
          <w:rFonts w:ascii="Arial Narrow" w:hAnsi="Arial Narrow" w:cstheme="minorHAnsi"/>
        </w:rPr>
        <w:t>ľa</w:t>
      </w:r>
      <w:r w:rsidRPr="008F3BDC">
        <w:rPr>
          <w:rFonts w:ascii="Arial Narrow" w:hAnsi="Arial Narrow" w:cstheme="minorHAnsi"/>
        </w:rPr>
        <w:t xml:space="preserve"> uvedené inak. </w:t>
      </w:r>
    </w:p>
    <w:p w:rsidR="00C30007" w:rsidRPr="008F3BDC" w:rsidRDefault="00C13098" w:rsidP="00C30007">
      <w:pPr>
        <w:spacing w:after="120"/>
        <w:jc w:val="both"/>
        <w:rPr>
          <w:rFonts w:ascii="Arial Narrow" w:hAnsi="Arial Narrow" w:cstheme="minorHAnsi"/>
        </w:rPr>
      </w:pPr>
      <w:r w:rsidRPr="008F3BDC">
        <w:rPr>
          <w:rFonts w:ascii="Arial Narrow" w:hAnsi="Arial Narrow" w:cstheme="minorHAnsi"/>
        </w:rPr>
        <w:t xml:space="preserve">Naopak, </w:t>
      </w:r>
      <w:r w:rsidR="002F1BD7" w:rsidRPr="008F3BDC">
        <w:rPr>
          <w:rFonts w:ascii="Arial Narrow" w:hAnsi="Arial Narrow" w:cstheme="minorHAnsi"/>
        </w:rPr>
        <w:t xml:space="preserve"> s</w:t>
      </w:r>
      <w:r w:rsidR="00C30007" w:rsidRPr="008F3BDC">
        <w:rPr>
          <w:rFonts w:ascii="Arial Narrow" w:hAnsi="Arial Narrow" w:cstheme="minorHAnsi"/>
        </w:rPr>
        <w:t xml:space="preserve">ubjekty, ktoré </w:t>
      </w:r>
      <w:r w:rsidR="002F1BD7" w:rsidRPr="008F3BDC">
        <w:rPr>
          <w:rFonts w:ascii="Arial Narrow" w:hAnsi="Arial Narrow" w:cstheme="minorHAnsi"/>
        </w:rPr>
        <w:t xml:space="preserve">získavajú podporu v rámci </w:t>
      </w:r>
      <w:r w:rsidRPr="008F3BDC">
        <w:rPr>
          <w:rFonts w:ascii="Arial Narrow" w:hAnsi="Arial Narrow" w:cstheme="minorHAnsi"/>
        </w:rPr>
        <w:t>odlišných</w:t>
      </w:r>
      <w:r w:rsidR="00EA4478" w:rsidRPr="008F3BDC">
        <w:rPr>
          <w:rFonts w:ascii="Arial Narrow" w:hAnsi="Arial Narrow" w:cstheme="minorHAnsi"/>
        </w:rPr>
        <w:t xml:space="preserve"> </w:t>
      </w:r>
      <w:r w:rsidR="002F1BD7" w:rsidRPr="008F3BDC">
        <w:rPr>
          <w:rFonts w:ascii="Arial Narrow" w:hAnsi="Arial Narrow" w:cstheme="minorHAnsi"/>
        </w:rPr>
        <w:t xml:space="preserve">opatrení </w:t>
      </w:r>
      <w:r w:rsidR="00EA4478" w:rsidRPr="008F3BDC">
        <w:rPr>
          <w:rFonts w:ascii="Arial Narrow" w:hAnsi="Arial Narrow" w:cstheme="minorHAnsi"/>
        </w:rPr>
        <w:t xml:space="preserve">sa započítavajú </w:t>
      </w:r>
      <w:r w:rsidRPr="008F3BDC">
        <w:rPr>
          <w:rFonts w:ascii="Arial Narrow" w:hAnsi="Arial Narrow" w:cstheme="minorHAnsi"/>
        </w:rPr>
        <w:t>samostatne</w:t>
      </w:r>
      <w:r w:rsidR="00C30007" w:rsidRPr="008F3BDC">
        <w:rPr>
          <w:rFonts w:ascii="Arial Narrow" w:hAnsi="Arial Narrow" w:cstheme="minorHAnsi"/>
        </w:rPr>
        <w:t>.</w:t>
      </w:r>
      <w:r w:rsidR="000E3DF9" w:rsidRPr="008F3BDC">
        <w:rPr>
          <w:rStyle w:val="Odkaznapoznmkupodiarou"/>
          <w:rFonts w:ascii="Arial Narrow" w:hAnsi="Arial Narrow" w:cstheme="minorHAnsi"/>
        </w:rPr>
        <w:t xml:space="preserve"> </w:t>
      </w:r>
      <w:r w:rsidR="000E3DF9" w:rsidRPr="008F3BDC">
        <w:rPr>
          <w:rStyle w:val="Odkaznapoznmkupodiarou"/>
          <w:rFonts w:ascii="Arial Narrow" w:hAnsi="Arial Narrow" w:cstheme="minorHAnsi"/>
        </w:rPr>
        <w:footnoteReference w:id="4"/>
      </w:r>
    </w:p>
    <w:p w:rsidR="00C30007" w:rsidRPr="008F3BDC" w:rsidRDefault="00A01723" w:rsidP="00C30007">
      <w:pPr>
        <w:spacing w:after="120"/>
        <w:jc w:val="both"/>
        <w:rPr>
          <w:rFonts w:ascii="Arial Narrow" w:hAnsi="Arial Narrow" w:cstheme="minorHAnsi"/>
        </w:rPr>
      </w:pPr>
      <w:r w:rsidRPr="008F3BDC">
        <w:rPr>
          <w:rFonts w:ascii="Arial Narrow" w:hAnsi="Arial Narrow" w:cstheme="minorHAnsi"/>
        </w:rPr>
        <w:t xml:space="preserve">Pokiaľ </w:t>
      </w:r>
      <w:r w:rsidR="00BF4248" w:rsidRPr="008F3BDC">
        <w:rPr>
          <w:rFonts w:ascii="Arial Narrow" w:hAnsi="Arial Narrow" w:cstheme="minorHAnsi"/>
        </w:rPr>
        <w:t>s</w:t>
      </w:r>
      <w:r w:rsidRPr="008F3BDC">
        <w:rPr>
          <w:rFonts w:ascii="Arial Narrow" w:hAnsi="Arial Narrow" w:cstheme="minorHAnsi"/>
        </w:rPr>
        <w:t>a v rámci o</w:t>
      </w:r>
      <w:r w:rsidR="00EA4478" w:rsidRPr="008F3BDC">
        <w:rPr>
          <w:rFonts w:ascii="Arial Narrow" w:hAnsi="Arial Narrow" w:cstheme="minorHAnsi"/>
        </w:rPr>
        <w:t>patrenia</w:t>
      </w:r>
      <w:r w:rsidR="00C30007" w:rsidRPr="008F3BDC">
        <w:rPr>
          <w:rFonts w:ascii="Arial Narrow" w:hAnsi="Arial Narrow" w:cstheme="minorHAnsi"/>
        </w:rPr>
        <w:t xml:space="preserve"> poskyt</w:t>
      </w:r>
      <w:r w:rsidRPr="008F3BDC">
        <w:rPr>
          <w:rFonts w:ascii="Arial Narrow" w:hAnsi="Arial Narrow" w:cstheme="minorHAnsi"/>
        </w:rPr>
        <w:t xml:space="preserve">uje podpora </w:t>
      </w:r>
      <w:r w:rsidR="00EA4478" w:rsidRPr="008F3BDC">
        <w:rPr>
          <w:rFonts w:ascii="Arial Narrow" w:hAnsi="Arial Narrow" w:cstheme="minorHAnsi"/>
        </w:rPr>
        <w:t>dlhodobo</w:t>
      </w:r>
      <w:r w:rsidRPr="008F3BDC">
        <w:rPr>
          <w:rFonts w:ascii="Arial Narrow" w:hAnsi="Arial Narrow" w:cstheme="minorHAnsi"/>
        </w:rPr>
        <w:t xml:space="preserve">, </w:t>
      </w:r>
      <w:r w:rsidR="00C30007" w:rsidRPr="008F3BDC">
        <w:rPr>
          <w:rFonts w:ascii="Arial Narrow" w:hAnsi="Arial Narrow" w:cstheme="minorHAnsi"/>
        </w:rPr>
        <w:t>subjekt prijímajúci podporu</w:t>
      </w:r>
      <w:r w:rsidR="00EA4478" w:rsidRPr="008F3BDC">
        <w:rPr>
          <w:rFonts w:ascii="Arial Narrow" w:hAnsi="Arial Narrow" w:cstheme="minorHAnsi"/>
        </w:rPr>
        <w:t xml:space="preserve"> </w:t>
      </w:r>
      <w:r w:rsidR="00BF4248" w:rsidRPr="008F3BDC">
        <w:rPr>
          <w:rFonts w:ascii="Arial Narrow" w:hAnsi="Arial Narrow" w:cstheme="minorHAnsi"/>
        </w:rPr>
        <w:t xml:space="preserve">sa </w:t>
      </w:r>
      <w:r w:rsidR="00EA4478" w:rsidRPr="008F3BDC">
        <w:rPr>
          <w:rFonts w:ascii="Arial Narrow" w:hAnsi="Arial Narrow" w:cstheme="minorHAnsi"/>
        </w:rPr>
        <w:t>započíta raz za celé relevantné</w:t>
      </w:r>
      <w:r w:rsidR="00C30007" w:rsidRPr="008F3BDC">
        <w:rPr>
          <w:rFonts w:ascii="Arial Narrow" w:hAnsi="Arial Narrow" w:cstheme="minorHAnsi"/>
        </w:rPr>
        <w:t xml:space="preserve"> obdobie.</w:t>
      </w:r>
      <w:r w:rsidR="000E3DF9" w:rsidRPr="008F3BDC">
        <w:rPr>
          <w:rStyle w:val="Odkaznapoznmkupodiarou"/>
          <w:rFonts w:ascii="Arial Narrow" w:hAnsi="Arial Narrow" w:cstheme="minorHAnsi"/>
        </w:rPr>
        <w:footnoteReference w:id="5"/>
      </w:r>
    </w:p>
    <w:p w:rsidR="00F72903" w:rsidRPr="008F3BDC" w:rsidRDefault="00FC63CF" w:rsidP="0002197E">
      <w:pPr>
        <w:pStyle w:val="Odsekzoznamu"/>
        <w:numPr>
          <w:ilvl w:val="0"/>
          <w:numId w:val="18"/>
        </w:numPr>
        <w:spacing w:before="480" w:after="240"/>
        <w:ind w:left="714" w:hanging="357"/>
        <w:rPr>
          <w:rStyle w:val="Nadpis1Char"/>
          <w:rFonts w:ascii="Arial Narrow" w:hAnsi="Arial Narrow" w:cstheme="minorHAnsi"/>
          <w:b/>
          <w:color w:val="5B9BD5" w:themeColor="accent1"/>
          <w:sz w:val="24"/>
          <w:szCs w:val="24"/>
        </w:rPr>
      </w:pPr>
      <w:bookmarkStart w:id="11" w:name="_Toc95761571"/>
      <w:r w:rsidRPr="008F3BDC">
        <w:rPr>
          <w:rStyle w:val="Nadpis1Char"/>
          <w:rFonts w:ascii="Arial Narrow" w:hAnsi="Arial Narrow" w:cstheme="minorHAnsi"/>
          <w:b/>
          <w:color w:val="5B9BD5" w:themeColor="accent1"/>
          <w:sz w:val="24"/>
          <w:szCs w:val="24"/>
        </w:rPr>
        <w:t>Východisková hodnota</w:t>
      </w:r>
      <w:r w:rsidR="00840D99" w:rsidRPr="008F3BDC">
        <w:rPr>
          <w:rStyle w:val="Nadpis1Char"/>
          <w:rFonts w:ascii="Arial Narrow" w:hAnsi="Arial Narrow" w:cstheme="minorHAnsi"/>
          <w:b/>
          <w:color w:val="5B9BD5" w:themeColor="accent1"/>
          <w:sz w:val="24"/>
          <w:szCs w:val="24"/>
        </w:rPr>
        <w:t xml:space="preserve"> a</w:t>
      </w:r>
      <w:r w:rsidRPr="008F3BDC">
        <w:rPr>
          <w:rStyle w:val="Nadpis1Char"/>
          <w:rFonts w:ascii="Arial Narrow" w:hAnsi="Arial Narrow" w:cstheme="minorHAnsi"/>
          <w:b/>
          <w:color w:val="5B9BD5" w:themeColor="accent1"/>
          <w:sz w:val="24"/>
          <w:szCs w:val="24"/>
        </w:rPr>
        <w:t> spôsob výpočtu hodnôt</w:t>
      </w:r>
      <w:bookmarkEnd w:id="11"/>
    </w:p>
    <w:p w:rsidR="00F72903" w:rsidRPr="008F3BDC" w:rsidRDefault="00FC63CF" w:rsidP="00F72903">
      <w:pPr>
        <w:spacing w:after="120"/>
        <w:jc w:val="both"/>
        <w:rPr>
          <w:rFonts w:ascii="Arial Narrow" w:hAnsi="Arial Narrow" w:cstheme="minorHAnsi"/>
        </w:rPr>
      </w:pPr>
      <w:r w:rsidRPr="008F3BDC">
        <w:rPr>
          <w:rFonts w:ascii="Arial Narrow" w:hAnsi="Arial Narrow" w:cstheme="minorHAnsi"/>
        </w:rPr>
        <w:t>Východiskové</w:t>
      </w:r>
      <w:r w:rsidR="00840D99" w:rsidRPr="008F3BDC">
        <w:rPr>
          <w:rFonts w:ascii="Arial Narrow" w:hAnsi="Arial Narrow" w:cstheme="minorHAnsi"/>
        </w:rPr>
        <w:t xml:space="preserve"> hodnoty spoločných ukazovateľov (t. j. pri prvom</w:t>
      </w:r>
      <w:r w:rsidR="00F72903" w:rsidRPr="008F3BDC">
        <w:rPr>
          <w:rFonts w:ascii="Arial Narrow" w:hAnsi="Arial Narrow" w:cstheme="minorHAnsi"/>
        </w:rPr>
        <w:t xml:space="preserve"> kol</w:t>
      </w:r>
      <w:r w:rsidR="00840D99" w:rsidRPr="008F3BDC">
        <w:rPr>
          <w:rFonts w:ascii="Arial Narrow" w:hAnsi="Arial Narrow" w:cstheme="minorHAnsi"/>
        </w:rPr>
        <w:t>e</w:t>
      </w:r>
      <w:r w:rsidR="00F72903" w:rsidRPr="008F3BDC">
        <w:rPr>
          <w:rFonts w:ascii="Arial Narrow" w:hAnsi="Arial Narrow" w:cstheme="minorHAnsi"/>
        </w:rPr>
        <w:t xml:space="preserve"> podávania správ) bud</w:t>
      </w:r>
      <w:r w:rsidR="00963E9A" w:rsidRPr="008F3BDC">
        <w:rPr>
          <w:rFonts w:ascii="Arial Narrow" w:hAnsi="Arial Narrow" w:cstheme="minorHAnsi"/>
        </w:rPr>
        <w:t>ú</w:t>
      </w:r>
      <w:r w:rsidR="00F72903" w:rsidRPr="008F3BDC">
        <w:rPr>
          <w:rFonts w:ascii="Arial Narrow" w:hAnsi="Arial Narrow" w:cstheme="minorHAnsi"/>
        </w:rPr>
        <w:t xml:space="preserve"> </w:t>
      </w:r>
      <w:r w:rsidR="00F72903" w:rsidRPr="008F3BDC">
        <w:rPr>
          <w:rFonts w:ascii="Arial Narrow" w:hAnsi="Arial Narrow" w:cstheme="minorHAnsi"/>
          <w:b/>
        </w:rPr>
        <w:t>vždy 0</w:t>
      </w:r>
      <w:r w:rsidR="00F72903" w:rsidRPr="008F3BDC">
        <w:rPr>
          <w:rFonts w:ascii="Arial Narrow" w:hAnsi="Arial Narrow" w:cstheme="minorHAnsi"/>
        </w:rPr>
        <w:t xml:space="preserve">. </w:t>
      </w:r>
      <w:r w:rsidR="001C11AB" w:rsidRPr="008F3BDC">
        <w:rPr>
          <w:rFonts w:ascii="Arial Narrow" w:hAnsi="Arial Narrow" w:cstheme="minorHAnsi"/>
        </w:rPr>
        <w:t>Následné</w:t>
      </w:r>
      <w:r w:rsidR="00840D99" w:rsidRPr="008F3BDC">
        <w:rPr>
          <w:rFonts w:ascii="Arial Narrow" w:hAnsi="Arial Narrow" w:cstheme="minorHAnsi"/>
        </w:rPr>
        <w:t xml:space="preserve"> hodnoty budú závisieť</w:t>
      </w:r>
      <w:r w:rsidR="00F72903" w:rsidRPr="008F3BDC">
        <w:rPr>
          <w:rFonts w:ascii="Arial Narrow" w:hAnsi="Arial Narrow" w:cstheme="minorHAnsi"/>
        </w:rPr>
        <w:t xml:space="preserve"> od povahy ukazovateľa:</w:t>
      </w:r>
    </w:p>
    <w:p w:rsidR="00F72903" w:rsidRPr="008F3BDC" w:rsidRDefault="00DE11B8" w:rsidP="00757CD8">
      <w:pPr>
        <w:pStyle w:val="Odsekzoznamu"/>
        <w:numPr>
          <w:ilvl w:val="0"/>
          <w:numId w:val="19"/>
        </w:numPr>
        <w:spacing w:after="120"/>
        <w:jc w:val="both"/>
        <w:rPr>
          <w:rFonts w:ascii="Arial Narrow" w:hAnsi="Arial Narrow" w:cstheme="minorHAnsi"/>
        </w:rPr>
      </w:pPr>
      <w:r w:rsidRPr="008F3BDC">
        <w:rPr>
          <w:rFonts w:ascii="Arial Narrow" w:hAnsi="Arial Narrow" w:cstheme="minorHAnsi"/>
        </w:rPr>
        <w:t xml:space="preserve">stavový </w:t>
      </w:r>
      <w:r w:rsidR="008D2DC2">
        <w:rPr>
          <w:rFonts w:ascii="Arial Narrow" w:hAnsi="Arial Narrow" w:cstheme="minorHAnsi"/>
        </w:rPr>
        <w:t>–</w:t>
      </w:r>
      <w:r w:rsidRPr="008F3BDC">
        <w:rPr>
          <w:rFonts w:ascii="Arial Narrow" w:hAnsi="Arial Narrow" w:cstheme="minorHAnsi"/>
        </w:rPr>
        <w:t xml:space="preserve"> </w:t>
      </w:r>
      <w:r w:rsidR="001C11AB" w:rsidRPr="008F3BDC">
        <w:rPr>
          <w:rFonts w:ascii="Arial Narrow" w:hAnsi="Arial Narrow" w:cstheme="minorHAnsi"/>
        </w:rPr>
        <w:t>východisková hodnota bude aktualizovaná v rámci každého podávan</w:t>
      </w:r>
      <w:r w:rsidR="00963E9A" w:rsidRPr="008F3BDC">
        <w:rPr>
          <w:rFonts w:ascii="Arial Narrow" w:hAnsi="Arial Narrow" w:cstheme="minorHAnsi"/>
        </w:rPr>
        <w:t>ia</w:t>
      </w:r>
      <w:r w:rsidR="001C11AB" w:rsidRPr="008F3BDC">
        <w:rPr>
          <w:rFonts w:ascii="Arial Narrow" w:hAnsi="Arial Narrow" w:cstheme="minorHAnsi"/>
        </w:rPr>
        <w:t xml:space="preserve"> správ a bude predstavovať hodnotu dosiahnutú </w:t>
      </w:r>
      <w:r w:rsidR="00963E9A" w:rsidRPr="008F3BDC">
        <w:rPr>
          <w:rFonts w:ascii="Arial Narrow" w:hAnsi="Arial Narrow" w:cstheme="minorHAnsi"/>
        </w:rPr>
        <w:t xml:space="preserve">na </w:t>
      </w:r>
      <w:r w:rsidR="00BF4248" w:rsidRPr="008F3BDC">
        <w:rPr>
          <w:rFonts w:ascii="Arial Narrow" w:hAnsi="Arial Narrow" w:cstheme="minorHAnsi"/>
        </w:rPr>
        <w:t>konci</w:t>
      </w:r>
      <w:r w:rsidR="001C11AB" w:rsidRPr="008F3BDC">
        <w:rPr>
          <w:rFonts w:ascii="Arial Narrow" w:hAnsi="Arial Narrow" w:cstheme="minorHAnsi"/>
        </w:rPr>
        <w:t xml:space="preserve"> predchádzajúceho vykazovaného obdobia</w:t>
      </w:r>
      <w:r w:rsidR="008D2DC2">
        <w:rPr>
          <w:rFonts w:ascii="Arial Narrow" w:hAnsi="Arial Narrow" w:cstheme="minorHAnsi"/>
        </w:rPr>
        <w:t>,</w:t>
      </w:r>
    </w:p>
    <w:p w:rsidR="00F72903" w:rsidRPr="008F3BDC" w:rsidRDefault="00DE11B8" w:rsidP="00757CD8">
      <w:pPr>
        <w:pStyle w:val="Odsekzoznamu"/>
        <w:numPr>
          <w:ilvl w:val="0"/>
          <w:numId w:val="19"/>
        </w:numPr>
        <w:spacing w:after="120"/>
        <w:jc w:val="both"/>
        <w:rPr>
          <w:rFonts w:ascii="Arial Narrow" w:hAnsi="Arial Narrow" w:cstheme="minorHAnsi"/>
        </w:rPr>
      </w:pPr>
      <w:r w:rsidRPr="008F3BDC">
        <w:rPr>
          <w:rFonts w:ascii="Arial Narrow" w:hAnsi="Arial Narrow" w:cstheme="minorHAnsi"/>
        </w:rPr>
        <w:t xml:space="preserve">priebežný </w:t>
      </w:r>
      <w:r w:rsidR="008D2DC2">
        <w:rPr>
          <w:rFonts w:ascii="Arial Narrow" w:hAnsi="Arial Narrow" w:cstheme="minorHAnsi"/>
        </w:rPr>
        <w:t>–</w:t>
      </w:r>
      <w:r w:rsidRPr="008F3BDC">
        <w:rPr>
          <w:rFonts w:ascii="Arial Narrow" w:hAnsi="Arial Narrow" w:cstheme="minorHAnsi"/>
        </w:rPr>
        <w:t xml:space="preserve"> </w:t>
      </w:r>
      <w:r w:rsidR="00791A2B" w:rsidRPr="008F3BDC">
        <w:rPr>
          <w:rFonts w:ascii="Arial Narrow" w:hAnsi="Arial Narrow" w:cstheme="minorHAnsi"/>
        </w:rPr>
        <w:t>každé</w:t>
      </w:r>
      <w:r w:rsidR="001C11AB" w:rsidRPr="008F3BDC">
        <w:rPr>
          <w:rFonts w:ascii="Arial Narrow" w:hAnsi="Arial Narrow" w:cstheme="minorHAnsi"/>
        </w:rPr>
        <w:t xml:space="preserve"> vykazované obdobie</w:t>
      </w:r>
      <w:r w:rsidR="00BF4248" w:rsidRPr="008F3BDC">
        <w:rPr>
          <w:rFonts w:ascii="Arial Narrow" w:hAnsi="Arial Narrow" w:cstheme="minorHAnsi"/>
        </w:rPr>
        <w:t xml:space="preserve"> sa</w:t>
      </w:r>
      <w:r w:rsidR="001C11AB" w:rsidRPr="008F3BDC">
        <w:rPr>
          <w:rFonts w:ascii="Arial Narrow" w:hAnsi="Arial Narrow" w:cstheme="minorHAnsi"/>
        </w:rPr>
        <w:t xml:space="preserve"> začína východiskovou hodnotou </w:t>
      </w:r>
      <w:r w:rsidR="00F72903" w:rsidRPr="008F3BDC">
        <w:rPr>
          <w:rFonts w:ascii="Arial Narrow" w:hAnsi="Arial Narrow" w:cstheme="minorHAnsi"/>
        </w:rPr>
        <w:t>0.</w:t>
      </w:r>
    </w:p>
    <w:p w:rsidR="00910C2C" w:rsidRPr="008F3BDC" w:rsidRDefault="007B24D5" w:rsidP="0002197E">
      <w:pPr>
        <w:spacing w:after="120"/>
        <w:jc w:val="both"/>
        <w:rPr>
          <w:rFonts w:ascii="Arial Narrow" w:hAnsi="Arial Narrow"/>
        </w:rPr>
      </w:pPr>
      <w:r w:rsidRPr="008F3BDC">
        <w:rPr>
          <w:rFonts w:ascii="Arial Narrow" w:hAnsi="Arial Narrow" w:cstheme="minorHAnsi"/>
        </w:rPr>
        <w:t>Dosiahnutá</w:t>
      </w:r>
      <w:r w:rsidR="00F72903" w:rsidRPr="008F3BDC">
        <w:rPr>
          <w:rFonts w:ascii="Arial Narrow" w:hAnsi="Arial Narrow" w:cstheme="minorHAnsi"/>
        </w:rPr>
        <w:t xml:space="preserve"> hodnota </w:t>
      </w:r>
      <w:r w:rsidR="001C11AB" w:rsidRPr="008F3BDC">
        <w:rPr>
          <w:rFonts w:ascii="Arial Narrow" w:hAnsi="Arial Narrow" w:cstheme="minorHAnsi"/>
        </w:rPr>
        <w:t xml:space="preserve">by mala zodpovedať </w:t>
      </w:r>
      <w:r w:rsidRPr="008F3BDC">
        <w:rPr>
          <w:rFonts w:ascii="Arial Narrow" w:hAnsi="Arial Narrow" w:cstheme="minorHAnsi"/>
        </w:rPr>
        <w:t xml:space="preserve">výsledkom opatrení </w:t>
      </w:r>
      <w:r w:rsidR="001C11AB" w:rsidRPr="008F3BDC">
        <w:rPr>
          <w:rFonts w:ascii="Arial Narrow" w:hAnsi="Arial Narrow" w:cstheme="minorHAnsi"/>
        </w:rPr>
        <w:t>implementovaných</w:t>
      </w:r>
      <w:r w:rsidRPr="008F3BDC">
        <w:rPr>
          <w:rFonts w:ascii="Arial Narrow" w:hAnsi="Arial Narrow" w:cstheme="minorHAnsi"/>
        </w:rPr>
        <w:t xml:space="preserve"> výlučne </w:t>
      </w:r>
      <w:r w:rsidR="001C11AB" w:rsidRPr="008F3BDC">
        <w:rPr>
          <w:rFonts w:ascii="Arial Narrow" w:hAnsi="Arial Narrow" w:cstheme="minorHAnsi"/>
        </w:rPr>
        <w:t xml:space="preserve">počas </w:t>
      </w:r>
      <w:r w:rsidR="0025603D" w:rsidRPr="008F3BDC">
        <w:rPr>
          <w:rFonts w:ascii="Arial Narrow" w:hAnsi="Arial Narrow" w:cstheme="minorHAnsi"/>
        </w:rPr>
        <w:t xml:space="preserve">vykazovaného </w:t>
      </w:r>
      <w:r w:rsidRPr="008F3BDC">
        <w:rPr>
          <w:rFonts w:ascii="Arial Narrow" w:hAnsi="Arial Narrow" w:cstheme="minorHAnsi"/>
        </w:rPr>
        <w:t xml:space="preserve">obdobia, </w:t>
      </w:r>
      <w:r w:rsidR="00963E9A" w:rsidRPr="008F3BDC">
        <w:rPr>
          <w:rFonts w:ascii="Arial Narrow" w:hAnsi="Arial Narrow" w:cstheme="minorHAnsi"/>
        </w:rPr>
        <w:t>to znamená</w:t>
      </w:r>
      <w:r w:rsidR="0025603D" w:rsidRPr="008F3BDC">
        <w:rPr>
          <w:rFonts w:ascii="Arial Narrow" w:hAnsi="Arial Narrow" w:cstheme="minorHAnsi"/>
        </w:rPr>
        <w:t>,</w:t>
      </w:r>
      <w:r w:rsidR="00963E9A" w:rsidRPr="008F3BDC">
        <w:rPr>
          <w:rFonts w:ascii="Arial Narrow" w:hAnsi="Arial Narrow" w:cstheme="minorHAnsi"/>
        </w:rPr>
        <w:t xml:space="preserve"> že sa </w:t>
      </w:r>
      <w:r w:rsidRPr="008F3BDC">
        <w:rPr>
          <w:rFonts w:ascii="Arial Narrow" w:hAnsi="Arial Narrow" w:cstheme="minorHAnsi"/>
        </w:rPr>
        <w:t>nekumuluj</w:t>
      </w:r>
      <w:r w:rsidR="00963E9A" w:rsidRPr="008F3BDC">
        <w:rPr>
          <w:rFonts w:ascii="Arial Narrow" w:hAnsi="Arial Narrow" w:cstheme="minorHAnsi"/>
        </w:rPr>
        <w:t>e</w:t>
      </w:r>
      <w:r w:rsidRPr="008F3BDC">
        <w:rPr>
          <w:rFonts w:ascii="Arial Narrow" w:hAnsi="Arial Narrow" w:cstheme="minorHAnsi"/>
        </w:rPr>
        <w:t xml:space="preserve"> s</w:t>
      </w:r>
      <w:r w:rsidR="00F72903" w:rsidRPr="008F3BDC">
        <w:rPr>
          <w:rFonts w:ascii="Arial Narrow" w:hAnsi="Arial Narrow" w:cstheme="minorHAnsi"/>
        </w:rPr>
        <w:t xml:space="preserve"> predchádzajúcimi obdobiami. </w:t>
      </w:r>
    </w:p>
    <w:p w:rsidR="00910C2C" w:rsidRPr="00757CD8" w:rsidRDefault="00910C2C" w:rsidP="0002197E">
      <w:pPr>
        <w:pStyle w:val="Odsekzoznamu"/>
        <w:numPr>
          <w:ilvl w:val="0"/>
          <w:numId w:val="18"/>
        </w:numPr>
        <w:spacing w:before="480" w:after="240"/>
        <w:ind w:left="714" w:hanging="357"/>
        <w:rPr>
          <w:rStyle w:val="Nadpis1Char"/>
          <w:rFonts w:ascii="Arial Narrow" w:hAnsi="Arial Narrow" w:cstheme="minorHAnsi"/>
          <w:b/>
          <w:color w:val="5B9BD5" w:themeColor="accent1"/>
          <w:sz w:val="24"/>
          <w:szCs w:val="24"/>
        </w:rPr>
      </w:pPr>
      <w:bookmarkStart w:id="12" w:name="_Toc95761572"/>
      <w:r w:rsidRPr="00005FF8">
        <w:rPr>
          <w:rStyle w:val="Nadpis1Char"/>
          <w:rFonts w:ascii="Arial Narrow" w:hAnsi="Arial Narrow" w:cstheme="minorHAnsi"/>
          <w:b/>
          <w:color w:val="5B9BD5" w:themeColor="accent1"/>
          <w:sz w:val="24"/>
          <w:szCs w:val="24"/>
        </w:rPr>
        <w:t>Zoznam spoločných ukazovateľov</w:t>
      </w:r>
      <w:bookmarkEnd w:id="12"/>
      <w:r w:rsidRPr="00757CD8">
        <w:rPr>
          <w:rStyle w:val="Nadpis1Char"/>
          <w:rFonts w:ascii="Arial Narrow" w:hAnsi="Arial Narrow" w:cstheme="minorHAnsi"/>
          <w:b/>
          <w:color w:val="5B9BD5" w:themeColor="accent1"/>
          <w:sz w:val="24"/>
          <w:szCs w:val="24"/>
        </w:rPr>
        <w:t xml:space="preserve"> </w:t>
      </w:r>
    </w:p>
    <w:p w:rsidR="00005FF8" w:rsidRPr="008F3BDC" w:rsidRDefault="00005FF8" w:rsidP="00757CD8">
      <w:pPr>
        <w:pStyle w:val="Odsekzoznamu"/>
        <w:spacing w:before="480" w:after="240"/>
        <w:ind w:left="714"/>
        <w:rPr>
          <w:rStyle w:val="Nadpis1Char"/>
          <w:rFonts w:ascii="Arial Narrow" w:hAnsi="Arial Narrow" w:cstheme="minorHAnsi"/>
          <w:color w:val="5B9BD5" w:themeColor="accent1"/>
          <w:sz w:val="24"/>
          <w:szCs w:val="24"/>
        </w:rPr>
      </w:pPr>
    </w:p>
    <w:p w:rsidR="00910C2C" w:rsidRPr="008F3BDC" w:rsidRDefault="00910C2C" w:rsidP="00910C2C">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Úspora ročnej spotreby primárnej energie</w:t>
      </w:r>
    </w:p>
    <w:tbl>
      <w:tblPr>
        <w:tblStyle w:val="Mriekatabuky"/>
        <w:tblW w:w="9475" w:type="dxa"/>
        <w:tblLook w:val="04A0" w:firstRow="1" w:lastRow="0" w:firstColumn="1" w:lastColumn="0" w:noHBand="0" w:noVBand="1"/>
      </w:tblPr>
      <w:tblGrid>
        <w:gridCol w:w="2028"/>
        <w:gridCol w:w="7447"/>
      </w:tblGrid>
      <w:tr w:rsidR="00910C2C" w:rsidRPr="008F3BDC" w:rsidTr="0002197E">
        <w:tc>
          <w:tcPr>
            <w:tcW w:w="2028" w:type="dxa"/>
          </w:tcPr>
          <w:p w:rsidR="00910C2C" w:rsidRPr="008F3BDC" w:rsidRDefault="00910C2C" w:rsidP="00910C2C">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RRFCI01</w:t>
            </w:r>
          </w:p>
        </w:tc>
      </w:tr>
      <w:tr w:rsidR="00910C2C" w:rsidRPr="008F3BDC" w:rsidTr="0002197E">
        <w:tc>
          <w:tcPr>
            <w:tcW w:w="2028" w:type="dxa"/>
            <w:shd w:val="clear" w:color="auto" w:fill="auto"/>
          </w:tcPr>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910C2C" w:rsidRPr="008F3BDC" w:rsidRDefault="00910C2C" w:rsidP="0073469E">
            <w:pPr>
              <w:rPr>
                <w:rFonts w:ascii="Arial Narrow" w:hAnsi="Arial Narrow" w:cstheme="minorHAnsi"/>
                <w:b/>
                <w:lang w:val="sk-SK"/>
              </w:rPr>
            </w:pPr>
            <w:r w:rsidRPr="008F3BDC">
              <w:rPr>
                <w:rFonts w:ascii="Arial Narrow" w:hAnsi="Arial Narrow" w:cstheme="minorHAnsi"/>
                <w:b/>
                <w:lang w:val="sk-SK"/>
              </w:rPr>
              <w:t>Úspory ročnej spotreby primárnych zdrojov energie</w:t>
            </w:r>
          </w:p>
        </w:tc>
      </w:tr>
      <w:tr w:rsidR="00910C2C" w:rsidRPr="008F3BDC" w:rsidTr="0002197E">
        <w:tc>
          <w:tcPr>
            <w:tcW w:w="2028" w:type="dxa"/>
            <w:shd w:val="clear" w:color="auto" w:fill="auto"/>
          </w:tcPr>
          <w:p w:rsidR="00910C2C" w:rsidRPr="008F3BDC" w:rsidRDefault="00294AE5" w:rsidP="0073469E">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910C2C" w:rsidRPr="008F3BDC" w:rsidRDefault="00294AE5" w:rsidP="0073469E">
            <w:pPr>
              <w:rPr>
                <w:rFonts w:ascii="Arial Narrow" w:hAnsi="Arial Narrow" w:cstheme="minorHAnsi"/>
                <w:lang w:val="sk-SK"/>
              </w:rPr>
            </w:pPr>
            <w:r w:rsidRPr="008F3BDC">
              <w:rPr>
                <w:rFonts w:ascii="Arial Narrow" w:hAnsi="Arial Narrow" w:cstheme="minorHAnsi"/>
                <w:lang w:val="sk-SK"/>
              </w:rPr>
              <w:t>MWh/rok</w:t>
            </w:r>
          </w:p>
        </w:tc>
      </w:tr>
      <w:tr w:rsidR="00910C2C" w:rsidRPr="008F3BDC" w:rsidTr="0002197E">
        <w:tc>
          <w:tcPr>
            <w:tcW w:w="2028" w:type="dxa"/>
            <w:shd w:val="clear" w:color="auto" w:fill="auto"/>
          </w:tcPr>
          <w:p w:rsidR="00910C2C" w:rsidRPr="008F3BDC" w:rsidRDefault="00294AE5" w:rsidP="0073469E">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910C2C" w:rsidRPr="008F3BDC" w:rsidRDefault="00DE11B8" w:rsidP="0073469E">
            <w:pPr>
              <w:rPr>
                <w:rFonts w:ascii="Arial Narrow" w:hAnsi="Arial Narrow" w:cstheme="minorHAnsi"/>
                <w:lang w:val="sk-SK"/>
              </w:rPr>
            </w:pPr>
            <w:r w:rsidRPr="008F3BDC">
              <w:rPr>
                <w:rFonts w:ascii="Arial Narrow" w:hAnsi="Arial Narrow" w:cstheme="minorHAnsi"/>
                <w:lang w:val="sk-SK"/>
              </w:rPr>
              <w:t>stavový</w:t>
            </w:r>
          </w:p>
        </w:tc>
      </w:tr>
      <w:tr w:rsidR="00910C2C" w:rsidRPr="008F3BDC" w:rsidTr="0002197E">
        <w:tc>
          <w:tcPr>
            <w:tcW w:w="2028" w:type="dxa"/>
            <w:shd w:val="clear" w:color="auto" w:fill="auto"/>
          </w:tcPr>
          <w:p w:rsidR="00910C2C" w:rsidRPr="008F3BDC" w:rsidRDefault="00294AE5" w:rsidP="0073469E">
            <w:pPr>
              <w:rPr>
                <w:rFonts w:ascii="Arial Narrow" w:hAnsi="Arial Narrow" w:cstheme="minorHAnsi"/>
                <w:highlight w:val="yellow"/>
                <w:lang w:val="sk-SK"/>
              </w:rPr>
            </w:pPr>
            <w:r w:rsidRPr="008F3BDC">
              <w:rPr>
                <w:rFonts w:ascii="Arial Narrow" w:hAnsi="Arial Narrow" w:cstheme="minorHAnsi"/>
                <w:lang w:val="sk-SK"/>
              </w:rPr>
              <w:t>V</w:t>
            </w:r>
            <w:r w:rsidR="00573104" w:rsidRPr="008F3BDC">
              <w:rPr>
                <w:rFonts w:ascii="Arial Narrow" w:hAnsi="Arial Narrow" w:cstheme="minorHAnsi"/>
                <w:lang w:val="sk-SK"/>
              </w:rPr>
              <w:t>ýchodisková</w:t>
            </w:r>
            <w:r w:rsidRPr="008F3BDC">
              <w:rPr>
                <w:rFonts w:ascii="Arial Narrow" w:hAnsi="Arial Narrow" w:cstheme="minorHAnsi"/>
                <w:lang w:val="sk-SK"/>
              </w:rPr>
              <w:t xml:space="preserve"> </w:t>
            </w:r>
            <w:r w:rsidR="00573104" w:rsidRPr="008F3BDC">
              <w:rPr>
                <w:rFonts w:ascii="Arial Narrow" w:hAnsi="Arial Narrow" w:cstheme="minorHAnsi"/>
                <w:lang w:val="sk-SK"/>
              </w:rPr>
              <w:t>hodnota</w:t>
            </w:r>
          </w:p>
        </w:tc>
        <w:tc>
          <w:tcPr>
            <w:tcW w:w="7447" w:type="dxa"/>
            <w:shd w:val="clear" w:color="auto" w:fill="auto"/>
          </w:tcPr>
          <w:p w:rsidR="007B24D5" w:rsidRPr="008F3BDC" w:rsidRDefault="007B24D5" w:rsidP="00294AE5">
            <w:pPr>
              <w:rPr>
                <w:rFonts w:ascii="Arial Narrow" w:hAnsi="Arial Narrow" w:cstheme="minorHAnsi"/>
                <w:lang w:val="sk-SK"/>
              </w:rPr>
            </w:pPr>
            <w:r w:rsidRPr="008F3BDC">
              <w:rPr>
                <w:rFonts w:ascii="Arial Narrow" w:hAnsi="Arial Narrow" w:cstheme="minorHAnsi"/>
                <w:lang w:val="sk-SK"/>
              </w:rPr>
              <w:t>východisková hodnota bude 0,</w:t>
            </w:r>
          </w:p>
          <w:p w:rsidR="000D3DA7" w:rsidRPr="008F3BDC" w:rsidRDefault="007B24D5" w:rsidP="00C137D0">
            <w:pPr>
              <w:rPr>
                <w:rFonts w:ascii="Arial Narrow" w:hAnsi="Arial Narrow" w:cstheme="minorHAnsi"/>
                <w:lang w:val="sk-SK"/>
              </w:rPr>
            </w:pPr>
            <w:r w:rsidRPr="008F3BDC">
              <w:rPr>
                <w:rFonts w:ascii="Arial Narrow" w:hAnsi="Arial Narrow" w:cstheme="minorHAnsi"/>
                <w:lang w:val="sk-SK"/>
              </w:rPr>
              <w:t xml:space="preserve">aktualizovaná bude v rámci každého </w:t>
            </w:r>
            <w:r w:rsidR="00C137D0" w:rsidRPr="008F3BDC">
              <w:rPr>
                <w:rFonts w:ascii="Arial Narrow" w:hAnsi="Arial Narrow" w:cstheme="minorHAnsi"/>
                <w:lang w:val="sk-SK"/>
              </w:rPr>
              <w:t xml:space="preserve">obdobia </w:t>
            </w:r>
            <w:r w:rsidRPr="008F3BDC">
              <w:rPr>
                <w:rFonts w:ascii="Arial Narrow" w:hAnsi="Arial Narrow" w:cstheme="minorHAnsi"/>
                <w:lang w:val="sk-SK"/>
              </w:rPr>
              <w:t xml:space="preserve">podávania správ </w:t>
            </w:r>
          </w:p>
        </w:tc>
      </w:tr>
      <w:tr w:rsidR="00910C2C" w:rsidRPr="008F3BDC" w:rsidTr="0002197E">
        <w:tc>
          <w:tcPr>
            <w:tcW w:w="2028" w:type="dxa"/>
            <w:shd w:val="clear" w:color="auto" w:fill="auto"/>
          </w:tcPr>
          <w:p w:rsidR="00910C2C" w:rsidRPr="008F3BDC" w:rsidRDefault="0098521F" w:rsidP="0073469E">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910C2C" w:rsidRPr="008F3BDC" w:rsidRDefault="0098521F" w:rsidP="0073469E">
            <w:pPr>
              <w:rPr>
                <w:rFonts w:ascii="Arial Narrow" w:hAnsi="Arial Narrow" w:cstheme="minorHAnsi"/>
                <w:lang w:val="sk-SK"/>
              </w:rPr>
            </w:pPr>
            <w:r w:rsidRPr="008F3BDC">
              <w:rPr>
                <w:rFonts w:ascii="Arial Narrow" w:hAnsi="Arial Narrow" w:cstheme="minorHAnsi"/>
                <w:lang w:val="sk-SK"/>
              </w:rPr>
              <w:t xml:space="preserve">Pilier 1 Zelená </w:t>
            </w:r>
            <w:proofErr w:type="spellStart"/>
            <w:r w:rsidRPr="008F3BDC">
              <w:rPr>
                <w:rFonts w:ascii="Arial Narrow" w:hAnsi="Arial Narrow" w:cstheme="minorHAnsi"/>
                <w:lang w:val="sk-SK"/>
              </w:rPr>
              <w:t>tranformácia</w:t>
            </w:r>
            <w:proofErr w:type="spellEnd"/>
          </w:p>
          <w:p w:rsidR="00910C2C" w:rsidRPr="008F3BDC" w:rsidRDefault="0098521F" w:rsidP="0073469E">
            <w:pPr>
              <w:rPr>
                <w:rFonts w:ascii="Arial Narrow" w:hAnsi="Arial Narrow" w:cstheme="minorHAnsi"/>
                <w:lang w:val="sk-SK"/>
              </w:rPr>
            </w:pPr>
            <w:r w:rsidRPr="008F3BDC">
              <w:rPr>
                <w:rFonts w:ascii="Arial Narrow" w:hAnsi="Arial Narrow" w:cstheme="minorHAnsi"/>
                <w:lang w:val="sk-SK"/>
              </w:rPr>
              <w:t>Pilie</w:t>
            </w:r>
            <w:r w:rsidR="00910C2C" w:rsidRPr="008F3BDC">
              <w:rPr>
                <w:rFonts w:ascii="Arial Narrow" w:hAnsi="Arial Narrow" w:cstheme="minorHAnsi"/>
                <w:lang w:val="sk-SK"/>
              </w:rPr>
              <w:t xml:space="preserve">r 3 </w:t>
            </w:r>
            <w:r w:rsidRPr="008F3BDC">
              <w:rPr>
                <w:rFonts w:ascii="Arial Narrow" w:hAnsi="Arial Narrow" w:cstheme="minorHAnsi"/>
                <w:lang w:val="sk-SK"/>
              </w:rPr>
              <w:t xml:space="preserve">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w:t>
            </w:r>
            <w:r w:rsidR="00C137D0" w:rsidRPr="008F3BDC">
              <w:rPr>
                <w:rFonts w:ascii="Arial Narrow" w:hAnsi="Arial Narrow" w:cstheme="minorHAnsi"/>
                <w:lang w:val="sk-SK"/>
              </w:rPr>
              <w:t xml:space="preserve">tvorby </w:t>
            </w:r>
            <w:r w:rsidRPr="008F3BDC">
              <w:rPr>
                <w:rFonts w:ascii="Arial Narrow" w:hAnsi="Arial Narrow" w:cstheme="minorHAnsi"/>
                <w:lang w:val="sk-SK"/>
              </w:rPr>
              <w:t>pracovných miest, produktivity, konkurencieschopnosti, výskumu, vývoja a inovácií a dobre fungu</w:t>
            </w:r>
            <w:r w:rsidR="00C137D0" w:rsidRPr="008F3BDC">
              <w:rPr>
                <w:rFonts w:ascii="Arial Narrow" w:hAnsi="Arial Narrow" w:cstheme="minorHAnsi"/>
                <w:lang w:val="sk-SK"/>
              </w:rPr>
              <w:t>júci vnútorný trh podporujúci MSP</w:t>
            </w:r>
          </w:p>
        </w:tc>
      </w:tr>
      <w:tr w:rsidR="00910C2C" w:rsidRPr="008F3BDC" w:rsidTr="0002197E">
        <w:tc>
          <w:tcPr>
            <w:tcW w:w="2028" w:type="dxa"/>
            <w:shd w:val="clear" w:color="auto" w:fill="auto"/>
          </w:tcPr>
          <w:p w:rsidR="00910C2C" w:rsidRPr="008F3BDC" w:rsidRDefault="00BF3B6D" w:rsidP="0073469E">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BF3B6D" w:rsidRPr="008F3BDC" w:rsidRDefault="00BF3B6D" w:rsidP="00BF3B6D">
            <w:pPr>
              <w:rPr>
                <w:rFonts w:ascii="Arial Narrow" w:hAnsi="Arial Narrow" w:cstheme="minorHAnsi"/>
                <w:lang w:val="sk-SK"/>
              </w:rPr>
            </w:pPr>
            <w:r w:rsidRPr="008F3BDC">
              <w:rPr>
                <w:rFonts w:ascii="Arial Narrow" w:hAnsi="Arial Narrow" w:cstheme="minorHAnsi"/>
                <w:lang w:val="sk-SK"/>
              </w:rPr>
              <w:t>Celkové ročné zníženie spotreby primárnych zdrojov energie v prípade podporovaných subjektov</w:t>
            </w:r>
            <w:r w:rsidR="00B3369C" w:rsidRPr="008F3BDC">
              <w:rPr>
                <w:rFonts w:ascii="Arial Narrow" w:hAnsi="Arial Narrow" w:cstheme="minorHAnsi"/>
                <w:lang w:val="sk-SK"/>
              </w:rPr>
              <w:t>, a to prostredníctvom</w:t>
            </w:r>
            <w:r w:rsidRPr="008F3BDC">
              <w:rPr>
                <w:rFonts w:ascii="Arial Narrow" w:hAnsi="Arial Narrow" w:cstheme="minorHAnsi"/>
                <w:lang w:val="sk-SK"/>
              </w:rPr>
              <w:t xml:space="preserve"> podpor</w:t>
            </w:r>
            <w:r w:rsidR="00B3369C" w:rsidRPr="008F3BDC">
              <w:rPr>
                <w:rFonts w:ascii="Arial Narrow" w:hAnsi="Arial Narrow" w:cstheme="minorHAnsi"/>
                <w:lang w:val="sk-SK"/>
              </w:rPr>
              <w:t xml:space="preserve">y v rámci </w:t>
            </w:r>
            <w:r w:rsidRPr="008F3BDC">
              <w:rPr>
                <w:rFonts w:ascii="Arial Narrow" w:hAnsi="Arial Narrow" w:cstheme="minorHAnsi"/>
                <w:lang w:val="sk-SK"/>
              </w:rPr>
              <w:t xml:space="preserve"> opatrení mechanizmu. Východiskovou hodnotou je ročná spotreba primárnych zdrojov energie pred intervenciou a dosiahnutou hodnotou je ročná spotreba primárnych zdrojov energie za rok nasledujúci po intervencii. V prípade budov musia byť intervencie dostatočne zdokumentované, aby bolo možné </w:t>
            </w:r>
            <w:r w:rsidR="00B3369C" w:rsidRPr="008F3BDC">
              <w:rPr>
                <w:rFonts w:ascii="Arial Narrow" w:hAnsi="Arial Narrow" w:cstheme="minorHAnsi"/>
                <w:lang w:val="sk-SK"/>
              </w:rPr>
              <w:t xml:space="preserve">tieto hodnoty </w:t>
            </w:r>
            <w:r w:rsidRPr="008F3BDC">
              <w:rPr>
                <w:rFonts w:ascii="Arial Narrow" w:hAnsi="Arial Narrow" w:cstheme="minorHAnsi"/>
                <w:lang w:val="sk-SK"/>
              </w:rPr>
              <w:t xml:space="preserve">vypočítať, napríklad na základe osvedčení o energetickej hospodárnosti alebo iných monitorovacích systémov spĺňajúcich kritériá stanovené v článku 10 ods. 6 smernice </w:t>
            </w:r>
            <w:r w:rsidRPr="008F3BDC">
              <w:rPr>
                <w:rFonts w:ascii="Arial Narrow" w:hAnsi="Arial Narrow" w:cstheme="minorHAnsi"/>
                <w:lang w:val="sk-SK"/>
              </w:rPr>
              <w:lastRenderedPageBreak/>
              <w:t>Európskeho parlamentu a Rady 2010/31/EÚ(1)(smernica o energetickej hospodárnosti budov). V prípade procesov v podnikoch sa ročná spotreba primárnych zdrojov energie zdokumentuje na základe energetických auditov v súlade s článkom 8 smernice Európskeho parlamentu a Rady 2012/27/EÚ(2)(smernica o energetickej efektívnosti) alebo inými príslušnými technickými špecifikáciami.</w:t>
            </w:r>
          </w:p>
          <w:p w:rsidR="00910C2C" w:rsidRPr="008F3BDC" w:rsidRDefault="00BF3B6D" w:rsidP="00BF3B6D">
            <w:pPr>
              <w:rPr>
                <w:rFonts w:ascii="Arial Narrow" w:hAnsi="Arial Narrow" w:cstheme="minorHAnsi"/>
                <w:lang w:val="sk-SK"/>
              </w:rPr>
            </w:pPr>
            <w:r w:rsidRPr="008F3BDC">
              <w:rPr>
                <w:rFonts w:ascii="Arial Narrow" w:hAnsi="Arial Narrow" w:cstheme="minorHAnsi"/>
                <w:lang w:val="sk-SK"/>
              </w:rPr>
              <w:t>Verejné budovy sa vymedzujú ako budovy vo vlastníctve verejných orgánov a budovy vo vlastníctve neziskovej organizácie za predpokladu, že tieto subjekty sledujú ciele všeobecného záujmu, ako je vzdelávanie, zdravie, životné prostredie a doprava. Ako príklad možno uviesť budovy verejnej správy, škôl, nemocníc atď.</w:t>
            </w:r>
          </w:p>
        </w:tc>
      </w:tr>
      <w:tr w:rsidR="00093EE3" w:rsidRPr="008F3BDC" w:rsidTr="0002197E">
        <w:tc>
          <w:tcPr>
            <w:tcW w:w="2028" w:type="dxa"/>
          </w:tcPr>
          <w:p w:rsidR="00093EE3" w:rsidRPr="008F3BDC" w:rsidRDefault="00C137D0" w:rsidP="00093EE3">
            <w:pPr>
              <w:rPr>
                <w:rFonts w:ascii="Arial Narrow" w:hAnsi="Arial Narrow" w:cstheme="minorHAnsi"/>
                <w:lang w:val="sk-SK"/>
              </w:rPr>
            </w:pPr>
            <w:r w:rsidRPr="008F3BDC">
              <w:rPr>
                <w:rFonts w:ascii="Arial Narrow" w:hAnsi="Arial Narrow" w:cstheme="minorHAnsi"/>
                <w:lang w:val="sk-SK"/>
              </w:rPr>
              <w:lastRenderedPageBreak/>
              <w:t>Čas plnenia</w:t>
            </w:r>
          </w:p>
        </w:tc>
        <w:tc>
          <w:tcPr>
            <w:tcW w:w="7447" w:type="dxa"/>
            <w:tcBorders>
              <w:top w:val="nil"/>
              <w:left w:val="nil"/>
              <w:bottom w:val="single" w:sz="4" w:space="0" w:color="auto"/>
              <w:right w:val="single" w:sz="4" w:space="0" w:color="auto"/>
            </w:tcBorders>
            <w:shd w:val="clear" w:color="auto" w:fill="auto"/>
          </w:tcPr>
          <w:p w:rsidR="00093EE3" w:rsidRPr="008F3BDC" w:rsidRDefault="00093EE3" w:rsidP="00093EE3">
            <w:pPr>
              <w:rPr>
                <w:rFonts w:ascii="Arial Narrow" w:hAnsi="Arial Narrow" w:cstheme="minorHAnsi"/>
                <w:lang w:val="sk-SK"/>
              </w:rPr>
            </w:pPr>
            <w:r w:rsidRPr="008F3BDC">
              <w:rPr>
                <w:rFonts w:ascii="Arial Narrow" w:hAnsi="Arial Narrow" w:cstheme="minorHAnsi"/>
                <w:lang w:val="sk-SK"/>
              </w:rPr>
              <w:t>Po dokončení výstupu a vydaní energetického certifikátu, energetického auditu alebo inej relevantnej tech</w:t>
            </w:r>
            <w:r w:rsidR="00C137D0" w:rsidRPr="008F3BDC">
              <w:rPr>
                <w:rFonts w:ascii="Arial Narrow" w:hAnsi="Arial Narrow" w:cstheme="minorHAnsi"/>
                <w:lang w:val="sk-SK"/>
              </w:rPr>
              <w:t>nickej špecifikácie.</w:t>
            </w:r>
          </w:p>
        </w:tc>
      </w:tr>
      <w:tr w:rsidR="00910C2C" w:rsidRPr="008F3BDC" w:rsidTr="0002197E">
        <w:tc>
          <w:tcPr>
            <w:tcW w:w="2028" w:type="dxa"/>
            <w:tcBorders>
              <w:top w:val="single" w:sz="4" w:space="0" w:color="auto"/>
            </w:tcBorders>
          </w:tcPr>
          <w:p w:rsidR="00910C2C" w:rsidRPr="008F3BDC" w:rsidRDefault="00573104" w:rsidP="0073469E">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Borders>
              <w:top w:val="single" w:sz="4" w:space="0" w:color="auto"/>
              <w:left w:val="nil"/>
              <w:bottom w:val="single" w:sz="4" w:space="0" w:color="auto"/>
              <w:right w:val="single" w:sz="4" w:space="0" w:color="auto"/>
            </w:tcBorders>
            <w:shd w:val="clear" w:color="auto" w:fill="auto"/>
          </w:tcPr>
          <w:p w:rsidR="00910C2C" w:rsidRPr="008F3BDC" w:rsidRDefault="00910C2C" w:rsidP="00EF49A4">
            <w:pPr>
              <w:jc w:val="both"/>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 xml:space="preserve">Dosiahnutá hodnota by sa mala vypočítať tak, že </w:t>
            </w:r>
            <w:r w:rsidR="00EF49A4" w:rsidRPr="008F3BDC">
              <w:rPr>
                <w:rFonts w:ascii="Arial Narrow" w:hAnsi="Arial Narrow" w:cstheme="minorHAnsi"/>
                <w:noProof/>
                <w:color w:val="000000"/>
                <w:lang w:val="sk-SK" w:eastAsia="en-IE"/>
              </w:rPr>
              <w:t>sa spotreba energie pred zásaho</w:t>
            </w:r>
            <w:r w:rsidR="00573104" w:rsidRPr="008F3BDC">
              <w:rPr>
                <w:rFonts w:ascii="Arial Narrow" w:hAnsi="Arial Narrow" w:cstheme="minorHAnsi"/>
                <w:noProof/>
                <w:color w:val="000000"/>
                <w:lang w:val="sk-SK" w:eastAsia="en-IE"/>
              </w:rPr>
              <w:t>m</w:t>
            </w:r>
            <w:r w:rsidRPr="008F3BDC">
              <w:rPr>
                <w:rFonts w:ascii="Arial Narrow" w:hAnsi="Arial Narrow" w:cstheme="minorHAnsi"/>
                <w:noProof/>
                <w:color w:val="000000"/>
                <w:lang w:val="sk-SK" w:eastAsia="en-IE"/>
              </w:rPr>
              <w:t xml:space="preserve"> odpočíta od</w:t>
            </w:r>
            <w:r w:rsidR="00C137D0" w:rsidRPr="008F3BDC">
              <w:rPr>
                <w:rFonts w:ascii="Arial Narrow" w:hAnsi="Arial Narrow" w:cstheme="minorHAnsi"/>
                <w:noProof/>
                <w:color w:val="000000"/>
                <w:lang w:val="sk-SK" w:eastAsia="en-IE"/>
              </w:rPr>
              <w:t xml:space="preserve"> dosiahnutej</w:t>
            </w:r>
            <w:r w:rsidRPr="008F3BDC">
              <w:rPr>
                <w:rFonts w:ascii="Arial Narrow" w:hAnsi="Arial Narrow" w:cstheme="minorHAnsi"/>
                <w:noProof/>
                <w:color w:val="000000"/>
                <w:lang w:val="sk-SK" w:eastAsia="en-IE"/>
              </w:rPr>
              <w:t xml:space="preserve"> novej spotreby energie (či už odhadovanej alebo skutočnej) po zásahu.</w:t>
            </w:r>
          </w:p>
          <w:p w:rsidR="00910C2C" w:rsidRPr="008F3BDC" w:rsidRDefault="00910C2C" w:rsidP="00EF49A4">
            <w:pPr>
              <w:jc w:val="both"/>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Úspora energie renovovanej jednotky sa započítava len raz, po ukončení zásahu.</w:t>
            </w:r>
          </w:p>
        </w:tc>
      </w:tr>
      <w:tr w:rsidR="00910C2C" w:rsidRPr="008F3BDC" w:rsidTr="0002197E">
        <w:tc>
          <w:tcPr>
            <w:tcW w:w="2028" w:type="dxa"/>
          </w:tcPr>
          <w:p w:rsidR="00910C2C" w:rsidRPr="008F3BDC" w:rsidRDefault="006B0611" w:rsidP="0073469E">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910C2C" w:rsidRPr="008F3BDC" w:rsidRDefault="00EF49A4" w:rsidP="0073469E">
            <w:pPr>
              <w:rPr>
                <w:rFonts w:ascii="Arial Narrow" w:hAnsi="Arial Narrow" w:cstheme="minorHAnsi"/>
                <w:lang w:val="sk-SK"/>
              </w:rPr>
            </w:pPr>
            <w:r w:rsidRPr="008F3BDC">
              <w:rPr>
                <w:rFonts w:ascii="Arial Narrow" w:hAnsi="Arial Narrow" w:cstheme="minorHAnsi"/>
                <w:lang w:val="sk-SK"/>
              </w:rPr>
              <w:t>žiadne</w:t>
            </w:r>
          </w:p>
        </w:tc>
      </w:tr>
      <w:tr w:rsidR="00910C2C" w:rsidRPr="008F3BDC" w:rsidTr="0002197E">
        <w:tc>
          <w:tcPr>
            <w:tcW w:w="2028" w:type="dxa"/>
          </w:tcPr>
          <w:p w:rsidR="00910C2C" w:rsidRPr="008F3BDC" w:rsidRDefault="00EF49A4" w:rsidP="0073469E">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Smernica Európskeho parlamentu a Rady 2010/31/EÚ o energetickej hospodárnosti budov.</w:t>
            </w:r>
          </w:p>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Smernica Európskeho parlamentu a Rady (EÚ) 2018/844 z 30. mája 2018, ktorou sa mení a dopĺňa smernica 2010/31/EÚ o energetickej hospodárnosti budov a smernica 2012/27/EÚ o energetickej efektívnosti (Ú. v. EÚ L 156/75, 19.6. .2018)</w:t>
            </w:r>
          </w:p>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Smernica o energetickej účinnosti (2012/27/EÚ)</w:t>
            </w:r>
          </w:p>
        </w:tc>
      </w:tr>
      <w:tr w:rsidR="00910C2C" w:rsidRPr="008F3BDC" w:rsidTr="0002197E">
        <w:tc>
          <w:tcPr>
            <w:tcW w:w="2028" w:type="dxa"/>
          </w:tcPr>
          <w:p w:rsidR="00910C2C" w:rsidRPr="008F3BDC" w:rsidRDefault="00EF49A4" w:rsidP="00EF49A4">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910C2C" w:rsidRPr="008F3BDC" w:rsidRDefault="00910C2C" w:rsidP="0073469E">
            <w:pPr>
              <w:rPr>
                <w:rFonts w:ascii="Arial Narrow" w:hAnsi="Arial Narrow" w:cstheme="minorHAnsi"/>
                <w:lang w:val="sk-SK"/>
              </w:rPr>
            </w:pPr>
            <w:r w:rsidRPr="008F3BDC">
              <w:rPr>
                <w:rFonts w:ascii="Arial Narrow" w:hAnsi="Arial Narrow" w:cstheme="minorHAnsi"/>
                <w:lang w:val="sk-SK"/>
              </w:rPr>
              <w:t>RCR26 Ročná spotreba primárnej energie (z toho: obydlia, verejné budovy, podniky, iné)</w:t>
            </w:r>
          </w:p>
        </w:tc>
      </w:tr>
    </w:tbl>
    <w:p w:rsidR="00573104" w:rsidRPr="008F3BDC" w:rsidRDefault="00573104" w:rsidP="00910C2C">
      <w:pPr>
        <w:spacing w:after="120"/>
        <w:jc w:val="both"/>
        <w:rPr>
          <w:rFonts w:ascii="Arial Narrow" w:hAnsi="Arial Narrow" w:cstheme="minorHAnsi"/>
          <w:b/>
        </w:rPr>
      </w:pPr>
    </w:p>
    <w:p w:rsidR="00573104" w:rsidRPr="008F3BDC" w:rsidRDefault="00573104" w:rsidP="0002197E">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Dodatočná inštalovaná prevádzková kapacita v oblasti energie z obnoviteľných zdrojov</w:t>
      </w:r>
    </w:p>
    <w:tbl>
      <w:tblPr>
        <w:tblStyle w:val="Mriekatabuky"/>
        <w:tblW w:w="9475" w:type="dxa"/>
        <w:tblLook w:val="04A0" w:firstRow="1" w:lastRow="0" w:firstColumn="1" w:lastColumn="0" w:noHBand="0" w:noVBand="1"/>
      </w:tblPr>
      <w:tblGrid>
        <w:gridCol w:w="2028"/>
        <w:gridCol w:w="7447"/>
      </w:tblGrid>
      <w:tr w:rsidR="00573104" w:rsidRPr="008F3BDC" w:rsidTr="0073469E">
        <w:tc>
          <w:tcPr>
            <w:tcW w:w="2028"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RRFCI02</w:t>
            </w:r>
          </w:p>
        </w:tc>
      </w:tr>
      <w:tr w:rsidR="00573104" w:rsidRPr="008F3BDC" w:rsidTr="00573104">
        <w:tc>
          <w:tcPr>
            <w:tcW w:w="2028"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573104" w:rsidRPr="008F3BDC" w:rsidRDefault="00573104" w:rsidP="00573104">
            <w:pPr>
              <w:rPr>
                <w:rFonts w:ascii="Arial Narrow" w:hAnsi="Arial Narrow" w:cstheme="minorHAnsi"/>
                <w:b/>
                <w:lang w:val="sk-SK"/>
              </w:rPr>
            </w:pPr>
            <w:r w:rsidRPr="008F3BDC">
              <w:rPr>
                <w:rFonts w:ascii="Arial Narrow" w:hAnsi="Arial Narrow" w:cstheme="minorHAnsi"/>
                <w:b/>
                <w:lang w:val="sk-SK"/>
              </w:rPr>
              <w:t>Dodatočná inštalovaná prevádzková kapacita v oblasti energie z obnoviteľných zdrojov</w:t>
            </w:r>
          </w:p>
        </w:tc>
      </w:tr>
      <w:tr w:rsidR="00573104" w:rsidRPr="008F3BDC" w:rsidTr="0073469E">
        <w:tc>
          <w:tcPr>
            <w:tcW w:w="2028"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MW</w:t>
            </w:r>
          </w:p>
        </w:tc>
      </w:tr>
      <w:tr w:rsidR="00573104" w:rsidRPr="008F3BDC" w:rsidTr="0073469E">
        <w:tc>
          <w:tcPr>
            <w:tcW w:w="2028" w:type="dxa"/>
            <w:shd w:val="clear" w:color="auto" w:fill="auto"/>
          </w:tcPr>
          <w:p w:rsidR="00573104" w:rsidRPr="008F3BDC" w:rsidRDefault="00573104" w:rsidP="00573104">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573104" w:rsidRPr="008F3BDC" w:rsidRDefault="00DE11B8" w:rsidP="00573104">
            <w:pPr>
              <w:rPr>
                <w:rFonts w:ascii="Arial Narrow" w:hAnsi="Arial Narrow" w:cstheme="minorHAnsi"/>
                <w:lang w:val="sk-SK"/>
              </w:rPr>
            </w:pPr>
            <w:r w:rsidRPr="008F3BDC">
              <w:rPr>
                <w:rFonts w:ascii="Arial Narrow" w:hAnsi="Arial Narrow" w:cstheme="minorHAnsi"/>
                <w:lang w:val="sk-SK"/>
              </w:rPr>
              <w:t>stavový</w:t>
            </w:r>
          </w:p>
        </w:tc>
      </w:tr>
      <w:tr w:rsidR="006C5C05" w:rsidRPr="008F3BDC" w:rsidTr="0073469E">
        <w:tc>
          <w:tcPr>
            <w:tcW w:w="2028" w:type="dxa"/>
            <w:shd w:val="clear" w:color="auto" w:fill="auto"/>
          </w:tcPr>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Východisková hodnota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 bude 0,</w:t>
            </w:r>
          </w:p>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aktualizovaná bude v rámci každého obdobia podávania správ </w:t>
            </w:r>
          </w:p>
        </w:tc>
      </w:tr>
      <w:tr w:rsidR="002648C2" w:rsidRPr="008F3BDC" w:rsidTr="0073469E">
        <w:tc>
          <w:tcPr>
            <w:tcW w:w="2028" w:type="dxa"/>
            <w:shd w:val="clear" w:color="auto" w:fill="auto"/>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 xml:space="preserve">Pilier 1 Zelená </w:t>
            </w:r>
            <w:proofErr w:type="spellStart"/>
            <w:r w:rsidRPr="008F3BDC">
              <w:rPr>
                <w:rFonts w:ascii="Arial Narrow" w:hAnsi="Arial Narrow" w:cstheme="minorHAnsi"/>
                <w:lang w:val="sk-SK"/>
              </w:rPr>
              <w:t>tranformácia</w:t>
            </w:r>
            <w:proofErr w:type="spellEnd"/>
          </w:p>
          <w:p w:rsidR="002648C2" w:rsidRPr="008F3BDC" w:rsidRDefault="00FF02C8" w:rsidP="002648C2">
            <w:pPr>
              <w:rPr>
                <w:rFonts w:ascii="Arial Narrow" w:hAnsi="Arial Narrow" w:cstheme="minorHAnsi"/>
                <w:lang w:val="sk-SK"/>
              </w:rPr>
            </w:pPr>
            <w:r w:rsidRPr="008F3BDC">
              <w:rPr>
                <w:rFonts w:ascii="Arial Narrow" w:hAnsi="Arial Narrow" w:cstheme="minorHAnsi"/>
                <w:lang w:val="sk-SK"/>
              </w:rPr>
              <w:t xml:space="preserve">Pilier 3 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tvorby pracovných miest, produktivity, konkurencieschopnosti, výskumu, vývoja a inovácií a dobre fungujúci vnútorný trh podporujúci MSP.</w:t>
            </w:r>
          </w:p>
        </w:tc>
      </w:tr>
      <w:tr w:rsidR="002648C2" w:rsidRPr="008F3BDC" w:rsidTr="0073469E">
        <w:tc>
          <w:tcPr>
            <w:tcW w:w="2028" w:type="dxa"/>
            <w:shd w:val="clear" w:color="auto" w:fill="auto"/>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2648C2" w:rsidRPr="008F3BDC" w:rsidRDefault="002648C2" w:rsidP="002648C2">
            <w:pPr>
              <w:jc w:val="both"/>
              <w:rPr>
                <w:rFonts w:ascii="Arial Narrow" w:hAnsi="Arial Narrow" w:cstheme="minorHAnsi"/>
                <w:lang w:val="sk-SK"/>
              </w:rPr>
            </w:pPr>
            <w:r w:rsidRPr="008F3BDC">
              <w:rPr>
                <w:rFonts w:ascii="Arial Narrow" w:hAnsi="Arial Narrow" w:cstheme="minorHAnsi"/>
                <w:lang w:val="sk-SK"/>
              </w:rPr>
              <w:t xml:space="preserve">Dodatočná kapacita inštalovaná v oblasti energie z obnoviteľných zdrojov vďaka podpore z opatrení v rámci mechanizmu, ktorá je funkčná (t. j. v prípade potreby pripojená k rozvodnej sieti a plne pripravená na výrobu energie alebo už vyrábajúca energiu). Výrobná kapacita sa podľa definície </w:t>
            </w:r>
            <w:proofErr w:type="spellStart"/>
            <w:r w:rsidRPr="008F3BDC">
              <w:rPr>
                <w:rFonts w:ascii="Arial Narrow" w:hAnsi="Arial Narrow" w:cstheme="minorHAnsi"/>
                <w:lang w:val="sk-SK"/>
              </w:rPr>
              <w:t>Eurostatu</w:t>
            </w:r>
            <w:proofErr w:type="spellEnd"/>
            <w:r w:rsidRPr="008F3BDC">
              <w:rPr>
                <w:rFonts w:ascii="Arial Narrow" w:hAnsi="Arial Narrow" w:cstheme="minorHAnsi"/>
                <w:lang w:val="sk-SK"/>
              </w:rPr>
              <w:t>(3)vymedzuje ako „čistý maximálny elektrický výkon“.</w:t>
            </w:r>
          </w:p>
          <w:p w:rsidR="002648C2" w:rsidRPr="008F3BDC" w:rsidRDefault="002648C2" w:rsidP="002648C2">
            <w:pPr>
              <w:jc w:val="both"/>
              <w:rPr>
                <w:rFonts w:ascii="Arial Narrow" w:hAnsi="Arial Narrow" w:cstheme="minorHAnsi"/>
                <w:lang w:val="sk-SK"/>
              </w:rPr>
            </w:pPr>
            <w:r w:rsidRPr="008F3BDC">
              <w:rPr>
                <w:rFonts w:ascii="Arial Narrow" w:hAnsi="Arial Narrow" w:cstheme="minorHAnsi"/>
                <w:lang w:val="sk-SK"/>
              </w:rPr>
              <w:t xml:space="preserve">Energia z obnoviteľných zdrojov je „energia z obnoviteľných nefosílnych zdrojov, a to veterná, slnečná (termálna a </w:t>
            </w:r>
            <w:proofErr w:type="spellStart"/>
            <w:r w:rsidRPr="008F3BDC">
              <w:rPr>
                <w:rFonts w:ascii="Arial Narrow" w:hAnsi="Arial Narrow" w:cstheme="minorHAnsi"/>
                <w:lang w:val="sk-SK"/>
              </w:rPr>
              <w:t>fotovoltická</w:t>
            </w:r>
            <w:proofErr w:type="spellEnd"/>
            <w:r w:rsidRPr="008F3BDC">
              <w:rPr>
                <w:rFonts w:ascii="Arial Narrow" w:hAnsi="Arial Narrow" w:cstheme="minorHAnsi"/>
                <w:lang w:val="sk-SK"/>
              </w:rPr>
              <w:t xml:space="preserve">) a geotermálna energia, energia z okolia, energia z prílivu, vĺn a iná energia z oceánov, vodná energia, energia z biomasy, skládkového plynu, plynu z čistiarní odpadových vôd a bioplynu“ (pozri smernicu Európskeho parlamentu a Rady 2018/2001(4). Ukazovateľ zachytáva aj kapacitu </w:t>
            </w:r>
            <w:proofErr w:type="spellStart"/>
            <w:r w:rsidRPr="008F3BDC">
              <w:rPr>
                <w:rFonts w:ascii="Arial Narrow" w:hAnsi="Arial Narrow" w:cstheme="minorHAnsi"/>
                <w:lang w:val="sk-SK"/>
              </w:rPr>
              <w:t>elektrolyzéra</w:t>
            </w:r>
            <w:proofErr w:type="spellEnd"/>
            <w:r w:rsidRPr="008F3BDC">
              <w:rPr>
                <w:rFonts w:ascii="Arial Narrow" w:hAnsi="Arial Narrow" w:cstheme="minorHAnsi"/>
                <w:lang w:val="sk-SK"/>
              </w:rPr>
              <w:t xml:space="preserve"> na výrobu vodíka vybudovaného s podporou opatrení v rámci mechanizmu. Ukazovateľ sa zbiera a vykazuje oddelene pre i) kapacitu výroby energie z obnoviteľných zdrojov a ii) kapacitu </w:t>
            </w:r>
            <w:proofErr w:type="spellStart"/>
            <w:r w:rsidRPr="008F3BDC">
              <w:rPr>
                <w:rFonts w:ascii="Arial Narrow" w:hAnsi="Arial Narrow" w:cstheme="minorHAnsi"/>
                <w:lang w:val="sk-SK"/>
              </w:rPr>
              <w:t>elektrolyzéra</w:t>
            </w:r>
            <w:proofErr w:type="spellEnd"/>
            <w:r w:rsidRPr="008F3BDC">
              <w:rPr>
                <w:rFonts w:ascii="Arial Narrow" w:hAnsi="Arial Narrow" w:cstheme="minorHAnsi"/>
                <w:lang w:val="sk-SK"/>
              </w:rPr>
              <w:t xml:space="preserve"> na výrobu vodíka.</w:t>
            </w:r>
          </w:p>
        </w:tc>
      </w:tr>
      <w:tr w:rsidR="006C5C05" w:rsidRPr="008F3BDC" w:rsidTr="0073469E">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lastRenderedPageBreak/>
              <w:t>Čas plnenia</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Spustenie výrobnej kapacit</w:t>
            </w:r>
            <w:r w:rsidR="00B3369C" w:rsidRPr="008F3BDC">
              <w:rPr>
                <w:rFonts w:ascii="Arial Narrow" w:hAnsi="Arial Narrow" w:cstheme="minorHAnsi"/>
                <w:lang w:val="sk-SK"/>
              </w:rPr>
              <w:t>y</w:t>
            </w:r>
            <w:r w:rsidRPr="008F3BDC">
              <w:rPr>
                <w:rFonts w:ascii="Arial Narrow" w:hAnsi="Arial Narrow" w:cstheme="minorHAnsi"/>
                <w:lang w:val="sk-SK"/>
              </w:rPr>
              <w:t xml:space="preserve"> v prevádzke (t. j. prevádzka je pripravená na výrobu alebo už vyrába energiu).</w:t>
            </w:r>
          </w:p>
        </w:tc>
      </w:tr>
      <w:tr w:rsidR="002648C2" w:rsidRPr="008F3BDC" w:rsidTr="0073469E">
        <w:tc>
          <w:tcPr>
            <w:tcW w:w="2028" w:type="dxa"/>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Tak ako je uvedená v definícii</w:t>
            </w:r>
            <w:r w:rsidR="006B0611" w:rsidRPr="008F3BDC">
              <w:rPr>
                <w:rFonts w:ascii="Arial Narrow" w:hAnsi="Arial Narrow" w:cstheme="minorHAnsi"/>
                <w:lang w:val="sk-SK"/>
              </w:rPr>
              <w:t>.</w:t>
            </w:r>
          </w:p>
        </w:tc>
      </w:tr>
      <w:tr w:rsidR="002648C2" w:rsidRPr="008F3BDC" w:rsidTr="0073469E">
        <w:tc>
          <w:tcPr>
            <w:tcW w:w="2028" w:type="dxa"/>
          </w:tcPr>
          <w:p w:rsidR="002648C2" w:rsidRPr="008F3BDC" w:rsidRDefault="006B0611" w:rsidP="006B0611">
            <w:pPr>
              <w:rPr>
                <w:rFonts w:ascii="Arial Narrow" w:hAnsi="Arial Narrow" w:cstheme="minorHAnsi"/>
                <w:lang w:val="sk-SK"/>
              </w:rPr>
            </w:pPr>
            <w:r w:rsidRPr="008F3BDC">
              <w:rPr>
                <w:rFonts w:ascii="Arial Narrow" w:hAnsi="Arial Narrow" w:cstheme="minorHAnsi"/>
                <w:lang w:val="sk-SK"/>
              </w:rPr>
              <w:t>Č</w:t>
            </w:r>
            <w:r w:rsidR="002648C2" w:rsidRPr="008F3BDC">
              <w:rPr>
                <w:rFonts w:ascii="Arial Narrow" w:hAnsi="Arial Narrow" w:cstheme="minorHAnsi"/>
                <w:lang w:val="sk-SK"/>
              </w:rPr>
              <w:t>lenenie údajov</w:t>
            </w:r>
          </w:p>
        </w:tc>
        <w:tc>
          <w:tcPr>
            <w:tcW w:w="7447" w:type="dxa"/>
          </w:tcPr>
          <w:p w:rsidR="006B0611" w:rsidRPr="008F3BDC" w:rsidRDefault="006B0611" w:rsidP="006B0611">
            <w:pPr>
              <w:rPr>
                <w:rFonts w:ascii="Arial Narrow" w:hAnsi="Arial Narrow" w:cstheme="minorHAnsi"/>
                <w:lang w:val="sk-SK"/>
              </w:rPr>
            </w:pPr>
            <w:r w:rsidRPr="008F3BDC">
              <w:rPr>
                <w:rFonts w:ascii="Arial Narrow" w:hAnsi="Arial Narrow" w:cstheme="minorHAnsi"/>
                <w:lang w:val="sk-SK"/>
              </w:rPr>
              <w:t>Člení sa podľa:</w:t>
            </w:r>
          </w:p>
          <w:p w:rsidR="006B0611" w:rsidRPr="008F3BDC" w:rsidRDefault="006B0611" w:rsidP="006B0611">
            <w:pPr>
              <w:rPr>
                <w:rFonts w:ascii="Arial Narrow" w:hAnsi="Arial Narrow" w:cstheme="minorHAnsi"/>
                <w:lang w:val="sk-SK"/>
              </w:rPr>
            </w:pPr>
            <w:r w:rsidRPr="008F3BDC">
              <w:rPr>
                <w:rFonts w:ascii="Arial Narrow" w:hAnsi="Arial Narrow" w:cstheme="minorHAnsi"/>
                <w:lang w:val="sk-SK"/>
              </w:rPr>
              <w:t xml:space="preserve">i) kapacita na výrobu </w:t>
            </w:r>
            <w:r w:rsidR="003E4CA2">
              <w:rPr>
                <w:rFonts w:ascii="Arial Narrow" w:hAnsi="Arial Narrow" w:cstheme="minorHAnsi"/>
                <w:lang w:val="sk-SK"/>
              </w:rPr>
              <w:t xml:space="preserve">z </w:t>
            </w:r>
            <w:r w:rsidRPr="008F3BDC">
              <w:rPr>
                <w:rFonts w:ascii="Arial Narrow" w:hAnsi="Arial Narrow" w:cstheme="minorHAnsi"/>
                <w:lang w:val="sk-SK"/>
              </w:rPr>
              <w:t>obnoviteľnej energie a</w:t>
            </w:r>
          </w:p>
          <w:p w:rsidR="002648C2" w:rsidRPr="008F3BDC" w:rsidRDefault="006B0611" w:rsidP="006B0611">
            <w:pPr>
              <w:spacing w:before="120" w:after="120"/>
              <w:jc w:val="both"/>
              <w:rPr>
                <w:rFonts w:ascii="Arial Narrow" w:hAnsi="Arial Narrow" w:cstheme="minorHAnsi"/>
                <w:lang w:val="sk-SK"/>
              </w:rPr>
            </w:pPr>
            <w:r w:rsidRPr="008F3BDC">
              <w:rPr>
                <w:rFonts w:ascii="Arial Narrow" w:hAnsi="Arial Narrow" w:cstheme="minorHAnsi"/>
                <w:lang w:val="sk-SK"/>
              </w:rPr>
              <w:t xml:space="preserve">ii) kapacita </w:t>
            </w:r>
            <w:proofErr w:type="spellStart"/>
            <w:r w:rsidRPr="008F3BDC">
              <w:rPr>
                <w:rFonts w:ascii="Arial Narrow" w:hAnsi="Arial Narrow" w:cstheme="minorHAnsi"/>
                <w:lang w:val="sk-SK"/>
              </w:rPr>
              <w:t>elektrolyzéra</w:t>
            </w:r>
            <w:proofErr w:type="spellEnd"/>
            <w:r w:rsidRPr="008F3BDC">
              <w:rPr>
                <w:rFonts w:ascii="Arial Narrow" w:hAnsi="Arial Narrow" w:cstheme="minorHAnsi"/>
                <w:lang w:val="sk-SK"/>
              </w:rPr>
              <w:t xml:space="preserve"> na výrobu vodíka</w:t>
            </w:r>
          </w:p>
        </w:tc>
      </w:tr>
      <w:tr w:rsidR="002648C2" w:rsidRPr="008F3BDC" w:rsidTr="0073469E">
        <w:tc>
          <w:tcPr>
            <w:tcW w:w="2028" w:type="dxa"/>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6B0611" w:rsidRPr="008F3BDC" w:rsidRDefault="006B0611" w:rsidP="006B0611">
            <w:pPr>
              <w:rPr>
                <w:rFonts w:ascii="Arial Narrow" w:hAnsi="Arial Narrow" w:cstheme="minorHAnsi"/>
                <w:lang w:val="sk-SK"/>
              </w:rPr>
            </w:pPr>
            <w:proofErr w:type="spellStart"/>
            <w:r w:rsidRPr="008F3BDC">
              <w:rPr>
                <w:rFonts w:ascii="Arial Narrow" w:hAnsi="Arial Narrow" w:cstheme="minorHAnsi"/>
                <w:lang w:val="sk-SK"/>
              </w:rPr>
              <w:t>Eurostat</w:t>
            </w:r>
            <w:proofErr w:type="spellEnd"/>
            <w:r w:rsidRPr="008F3BDC">
              <w:rPr>
                <w:rFonts w:ascii="Arial Narrow" w:hAnsi="Arial Narrow" w:cstheme="minorHAnsi"/>
                <w:lang w:val="sk-SK"/>
              </w:rPr>
              <w:t xml:space="preserve"> pre definíciu výrobnej kapacity</w:t>
            </w:r>
          </w:p>
          <w:p w:rsidR="002648C2" w:rsidRPr="008F3BDC" w:rsidRDefault="006B0611" w:rsidP="006B0611">
            <w:pPr>
              <w:rPr>
                <w:rFonts w:ascii="Arial Narrow" w:hAnsi="Arial Narrow" w:cstheme="minorHAnsi"/>
                <w:lang w:val="sk-SK"/>
              </w:rPr>
            </w:pPr>
            <w:r w:rsidRPr="008F3BDC">
              <w:rPr>
                <w:rFonts w:ascii="Arial Narrow" w:hAnsi="Arial Narrow" w:cstheme="minorHAnsi"/>
                <w:lang w:val="sk-SK"/>
              </w:rPr>
              <w:t>Smernica Európskeho parlamentu a Rady (EÚ) 2018/2001 z 11. decembra 2018 o podpore využívania energie z obnoviteľných zdrojov - pre definíciu obnoviteľnej energie</w:t>
            </w:r>
          </w:p>
        </w:tc>
      </w:tr>
      <w:tr w:rsidR="002648C2" w:rsidRPr="008F3BDC" w:rsidTr="0073469E">
        <w:tc>
          <w:tcPr>
            <w:tcW w:w="2028" w:type="dxa"/>
          </w:tcPr>
          <w:p w:rsidR="002648C2" w:rsidRPr="008F3BDC" w:rsidRDefault="002648C2" w:rsidP="002648C2">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2648C2" w:rsidRPr="008F3BDC" w:rsidRDefault="002648C2" w:rsidP="006B0611">
            <w:pPr>
              <w:rPr>
                <w:rFonts w:ascii="Arial Narrow" w:hAnsi="Arial Narrow" w:cstheme="minorHAnsi"/>
                <w:lang w:val="sk-SK"/>
              </w:rPr>
            </w:pPr>
            <w:r w:rsidRPr="008F3BDC">
              <w:rPr>
                <w:rFonts w:ascii="Arial Narrow" w:hAnsi="Arial Narrow" w:cstheme="minorHAnsi"/>
                <w:lang w:val="sk-SK"/>
              </w:rPr>
              <w:t xml:space="preserve">RCR32 </w:t>
            </w:r>
            <w:r w:rsidR="006B0611" w:rsidRPr="008F3BDC">
              <w:rPr>
                <w:rFonts w:ascii="Arial Narrow" w:hAnsi="Arial Narrow" w:cstheme="minorHAnsi"/>
                <w:lang w:val="sk-SK"/>
              </w:rPr>
              <w:t xml:space="preserve"> Dodatočná prevádzková kapacita inštalovaná pre obnoviteľnú energiu</w:t>
            </w:r>
          </w:p>
        </w:tc>
      </w:tr>
    </w:tbl>
    <w:p w:rsidR="00573104" w:rsidRPr="008F3BDC" w:rsidRDefault="00573104" w:rsidP="00910C2C">
      <w:pPr>
        <w:spacing w:after="120"/>
        <w:jc w:val="both"/>
        <w:rPr>
          <w:rFonts w:ascii="Arial Narrow" w:hAnsi="Arial Narrow" w:cstheme="minorHAnsi"/>
          <w:b/>
        </w:rPr>
      </w:pPr>
    </w:p>
    <w:p w:rsidR="00247A77" w:rsidRPr="008F3BDC" w:rsidRDefault="00247A77" w:rsidP="0002197E">
      <w:pPr>
        <w:pStyle w:val="Odsekzoznamu"/>
        <w:keepNext/>
        <w:widowControl w:val="0"/>
        <w:numPr>
          <w:ilvl w:val="0"/>
          <w:numId w:val="2"/>
        </w:numPr>
        <w:spacing w:after="120"/>
        <w:ind w:left="714" w:hanging="357"/>
        <w:jc w:val="both"/>
        <w:rPr>
          <w:rFonts w:ascii="Arial Narrow" w:hAnsi="Arial Narrow" w:cstheme="minorHAnsi"/>
          <w:b/>
        </w:rPr>
      </w:pPr>
      <w:r w:rsidRPr="008F3BDC">
        <w:rPr>
          <w:rFonts w:ascii="Arial Narrow" w:hAnsi="Arial Narrow" w:cstheme="minorHAnsi"/>
          <w:b/>
        </w:rPr>
        <w:t>Infraštruktúra pre alternatívne palivá (čerpacie/ nabíjacie stanice)</w:t>
      </w:r>
    </w:p>
    <w:tbl>
      <w:tblPr>
        <w:tblStyle w:val="Mriekatabuky"/>
        <w:tblW w:w="9475" w:type="dxa"/>
        <w:tblLook w:val="04A0" w:firstRow="1" w:lastRow="0" w:firstColumn="1" w:lastColumn="0" w:noHBand="0" w:noVBand="1"/>
      </w:tblPr>
      <w:tblGrid>
        <w:gridCol w:w="2028"/>
        <w:gridCol w:w="7447"/>
      </w:tblGrid>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RRFCI03</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247A77" w:rsidRPr="008F3BDC" w:rsidRDefault="00247A77" w:rsidP="00247A77">
            <w:pPr>
              <w:rPr>
                <w:rFonts w:ascii="Arial Narrow" w:hAnsi="Arial Narrow" w:cstheme="minorHAnsi"/>
                <w:lang w:val="sk-SK"/>
              </w:rPr>
            </w:pPr>
            <w:r w:rsidRPr="008F3BDC">
              <w:rPr>
                <w:rFonts w:ascii="Arial Narrow" w:hAnsi="Arial Narrow" w:cstheme="minorHAnsi"/>
                <w:b/>
                <w:lang w:val="sk-SK"/>
              </w:rPr>
              <w:t>Infraštruktúra pre alternatívne palivá (čerpacie/ nabíjacie stanice)</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247A77" w:rsidRPr="008F3BDC" w:rsidRDefault="00247A77" w:rsidP="00247A77">
            <w:pPr>
              <w:pStyle w:val="Default"/>
              <w:rPr>
                <w:rFonts w:ascii="Arial Narrow" w:hAnsi="Arial Narrow" w:cstheme="minorHAnsi"/>
                <w:sz w:val="22"/>
                <w:szCs w:val="22"/>
                <w:lang w:val="sk-SK"/>
              </w:rPr>
            </w:pPr>
            <w:r w:rsidRPr="008F3BDC">
              <w:rPr>
                <w:rFonts w:ascii="Arial Narrow" w:hAnsi="Arial Narrow" w:cstheme="minorHAnsi"/>
                <w:sz w:val="22"/>
                <w:szCs w:val="22"/>
                <w:lang w:val="sk-SK"/>
              </w:rPr>
              <w:t>čerpacie/ nabíjacie stanice</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247A77" w:rsidRPr="008F3BDC" w:rsidRDefault="00DE11B8" w:rsidP="00247A77">
            <w:pPr>
              <w:rPr>
                <w:rFonts w:ascii="Arial Narrow" w:hAnsi="Arial Narrow" w:cstheme="minorHAnsi"/>
                <w:lang w:val="sk-SK"/>
              </w:rPr>
            </w:pPr>
            <w:r w:rsidRPr="008F3BDC">
              <w:rPr>
                <w:rFonts w:ascii="Arial Narrow" w:hAnsi="Arial Narrow" w:cstheme="minorHAnsi"/>
                <w:lang w:val="sk-SK"/>
              </w:rPr>
              <w:t>stavový</w:t>
            </w:r>
          </w:p>
        </w:tc>
      </w:tr>
      <w:tr w:rsidR="006C5C05" w:rsidRPr="008F3BDC" w:rsidTr="00247A77">
        <w:tc>
          <w:tcPr>
            <w:tcW w:w="2028" w:type="dxa"/>
          </w:tcPr>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Východisková hodnota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 bude 0,</w:t>
            </w:r>
          </w:p>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aktualizovaná bude v rámci každého obdobia podávania správ </w:t>
            </w:r>
          </w:p>
        </w:tc>
      </w:tr>
      <w:tr w:rsidR="00C26B36" w:rsidRPr="008F3BDC" w:rsidTr="00247A77">
        <w:tc>
          <w:tcPr>
            <w:tcW w:w="2028" w:type="dxa"/>
          </w:tcPr>
          <w:p w:rsidR="00C26B36" w:rsidRPr="008F3BDC" w:rsidRDefault="00C26B36" w:rsidP="00C26B36">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C26B36" w:rsidRPr="008F3BDC" w:rsidRDefault="00C26B36" w:rsidP="00C26B36">
            <w:pPr>
              <w:rPr>
                <w:rFonts w:ascii="Arial Narrow" w:hAnsi="Arial Narrow" w:cstheme="minorHAnsi"/>
                <w:lang w:val="sk-SK"/>
              </w:rPr>
            </w:pPr>
            <w:r w:rsidRPr="008F3BDC">
              <w:rPr>
                <w:rFonts w:ascii="Arial Narrow" w:hAnsi="Arial Narrow" w:cstheme="minorHAnsi"/>
                <w:lang w:val="sk-SK"/>
              </w:rPr>
              <w:t xml:space="preserve">Pilier 1 Zelená </w:t>
            </w:r>
            <w:proofErr w:type="spellStart"/>
            <w:r w:rsidRPr="008F3BDC">
              <w:rPr>
                <w:rFonts w:ascii="Arial Narrow" w:hAnsi="Arial Narrow" w:cstheme="minorHAnsi"/>
                <w:lang w:val="sk-SK"/>
              </w:rPr>
              <w:t>tranformácia</w:t>
            </w:r>
            <w:proofErr w:type="spellEnd"/>
          </w:p>
          <w:p w:rsidR="00C26B36" w:rsidRPr="008F3BDC" w:rsidRDefault="00FF02C8" w:rsidP="00C26B36">
            <w:pPr>
              <w:rPr>
                <w:rFonts w:ascii="Arial Narrow" w:hAnsi="Arial Narrow" w:cstheme="minorHAnsi"/>
                <w:lang w:val="sk-SK"/>
              </w:rPr>
            </w:pPr>
            <w:r w:rsidRPr="008F3BDC">
              <w:rPr>
                <w:rFonts w:ascii="Arial Narrow" w:hAnsi="Arial Narrow" w:cstheme="minorHAnsi"/>
                <w:lang w:val="sk-SK"/>
              </w:rPr>
              <w:t xml:space="preserve">Pilier 3 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tvorby pracovných miest, produktivity, konkurencieschopnosti, výskumu, vývoja a inovácií a dobre fungujúci vnútorný trh podporujúci MSP</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C26B36" w:rsidRPr="008F3BDC" w:rsidRDefault="00C26B36" w:rsidP="00127F4A">
            <w:pPr>
              <w:jc w:val="both"/>
              <w:rPr>
                <w:rFonts w:ascii="Arial Narrow" w:hAnsi="Arial Narrow" w:cstheme="minorHAnsi"/>
                <w:lang w:val="sk-SK"/>
              </w:rPr>
            </w:pPr>
            <w:r w:rsidRPr="008F3BDC">
              <w:rPr>
                <w:rFonts w:ascii="Arial Narrow" w:hAnsi="Arial Narrow" w:cstheme="minorHAnsi"/>
                <w:lang w:val="sk-SK"/>
              </w:rPr>
              <w:t>Počet čerpacích/nabíjacích staníc (nových alebo modernizovaných) pre ekologické vozidlá podporených opatreniami v rámci mechanizmu.</w:t>
            </w:r>
          </w:p>
          <w:p w:rsidR="00C26B36" w:rsidRPr="008F3BDC" w:rsidRDefault="00C26B36" w:rsidP="00127F4A">
            <w:pPr>
              <w:jc w:val="both"/>
              <w:rPr>
                <w:rFonts w:ascii="Arial Narrow" w:hAnsi="Arial Narrow" w:cstheme="minorHAnsi"/>
                <w:lang w:val="sk-SK"/>
              </w:rPr>
            </w:pPr>
            <w:r w:rsidRPr="008F3BDC">
              <w:rPr>
                <w:rFonts w:ascii="Arial Narrow" w:hAnsi="Arial Narrow" w:cstheme="minorHAnsi"/>
                <w:lang w:val="sk-SK"/>
              </w:rPr>
              <w:t xml:space="preserve">Nabíjacia stanica sa vymedzuje ako </w:t>
            </w:r>
            <w:r w:rsidR="002A19B9" w:rsidRPr="008F3BDC">
              <w:rPr>
                <w:rFonts w:ascii="Arial Narrow" w:hAnsi="Arial Narrow" w:cstheme="minorHAnsi"/>
                <w:lang w:val="sk-SK"/>
              </w:rPr>
              <w:t>zariadenie</w:t>
            </w:r>
            <w:r w:rsidRPr="008F3BDC">
              <w:rPr>
                <w:rFonts w:ascii="Arial Narrow" w:hAnsi="Arial Narrow" w:cstheme="minorHAnsi"/>
                <w:lang w:val="sk-SK"/>
              </w:rPr>
              <w:t>, ktoré v určitom čase umožňuje nabíjanie jedného elektrického vozidla alebo výmenu batérie jedného elektrického vozidla. Čerpacou stanicou sa rozumie čerpacie zariadenie na poskytovanie alternatívneho paliva prostredníctvom pevného alebo mobilného zariadenia.</w:t>
            </w:r>
          </w:p>
          <w:p w:rsidR="00C26B36" w:rsidRPr="008F3BDC" w:rsidRDefault="00C26B36" w:rsidP="00127F4A">
            <w:pPr>
              <w:jc w:val="both"/>
              <w:rPr>
                <w:rFonts w:ascii="Arial Narrow" w:hAnsi="Arial Narrow" w:cstheme="minorHAnsi"/>
                <w:lang w:val="sk-SK"/>
              </w:rPr>
            </w:pPr>
            <w:r w:rsidRPr="008F3BDC">
              <w:rPr>
                <w:rFonts w:ascii="Arial Narrow" w:hAnsi="Arial Narrow" w:cstheme="minorHAnsi"/>
                <w:lang w:val="sk-SK"/>
              </w:rPr>
              <w:t xml:space="preserve">Alternatívne palivá sa vymedzujú tak, aby </w:t>
            </w:r>
            <w:r w:rsidR="008B0DFF" w:rsidRPr="008F3BDC">
              <w:rPr>
                <w:rFonts w:ascii="Arial Narrow" w:hAnsi="Arial Narrow" w:cstheme="minorHAnsi"/>
                <w:lang w:val="sk-SK"/>
              </w:rPr>
              <w:t xml:space="preserve">predstavovali </w:t>
            </w:r>
            <w:r w:rsidRPr="008F3BDC">
              <w:rPr>
                <w:rFonts w:ascii="Arial Narrow" w:hAnsi="Arial Narrow" w:cstheme="minorHAnsi"/>
                <w:lang w:val="sk-SK"/>
              </w:rPr>
              <w:t xml:space="preserve"> palivá alebo zdroje energie, ktoré aspoň čiastočne slúžia ako náhrada fosílnych </w:t>
            </w:r>
            <w:r w:rsidR="00AA54C9" w:rsidRPr="008F3BDC">
              <w:rPr>
                <w:rFonts w:ascii="Arial Narrow" w:hAnsi="Arial Narrow" w:cstheme="minorHAnsi"/>
                <w:lang w:val="sk-SK"/>
              </w:rPr>
              <w:t>palív</w:t>
            </w:r>
            <w:r w:rsidRPr="008F3BDC">
              <w:rPr>
                <w:rFonts w:ascii="Arial Narrow" w:hAnsi="Arial Narrow" w:cstheme="minorHAnsi"/>
                <w:lang w:val="sk-SK"/>
              </w:rPr>
              <w:t xml:space="preserve"> v </w:t>
            </w:r>
            <w:r w:rsidR="00AA54C9" w:rsidRPr="008F3BDC">
              <w:rPr>
                <w:rFonts w:ascii="Arial Narrow" w:hAnsi="Arial Narrow" w:cstheme="minorHAnsi"/>
                <w:lang w:val="sk-SK"/>
              </w:rPr>
              <w:t xml:space="preserve">rámci </w:t>
            </w:r>
            <w:r w:rsidRPr="008F3BDC">
              <w:rPr>
                <w:rFonts w:ascii="Arial Narrow" w:hAnsi="Arial Narrow" w:cstheme="minorHAnsi"/>
                <w:lang w:val="sk-SK"/>
              </w:rPr>
              <w:t>dodáv</w:t>
            </w:r>
            <w:r w:rsidR="00AA54C9" w:rsidRPr="008F3BDC">
              <w:rPr>
                <w:rFonts w:ascii="Arial Narrow" w:hAnsi="Arial Narrow" w:cstheme="minorHAnsi"/>
                <w:lang w:val="sk-SK"/>
              </w:rPr>
              <w:t>o</w:t>
            </w:r>
            <w:r w:rsidRPr="008F3BDC">
              <w:rPr>
                <w:rFonts w:ascii="Arial Narrow" w:hAnsi="Arial Narrow" w:cstheme="minorHAnsi"/>
                <w:lang w:val="sk-SK"/>
              </w:rPr>
              <w:t xml:space="preserve">k energie pre dopravu, ktoré majú potenciál prispievať k jej dekarbonizácii a zlepšiť environmentálne </w:t>
            </w:r>
            <w:r w:rsidR="00AA54C9" w:rsidRPr="008F3BDC">
              <w:rPr>
                <w:rFonts w:ascii="Arial Narrow" w:hAnsi="Arial Narrow" w:cstheme="minorHAnsi"/>
                <w:lang w:val="sk-SK"/>
              </w:rPr>
              <w:t xml:space="preserve">prostredie v </w:t>
            </w:r>
            <w:r w:rsidRPr="008F3BDC">
              <w:rPr>
                <w:rFonts w:ascii="Arial Narrow" w:hAnsi="Arial Narrow" w:cstheme="minorHAnsi"/>
                <w:lang w:val="sk-SK"/>
              </w:rPr>
              <w:t xml:space="preserve"> odvetv</w:t>
            </w:r>
            <w:r w:rsidR="00AA54C9" w:rsidRPr="008F3BDC">
              <w:rPr>
                <w:rFonts w:ascii="Arial Narrow" w:hAnsi="Arial Narrow" w:cstheme="minorHAnsi"/>
                <w:lang w:val="sk-SK"/>
              </w:rPr>
              <w:t>í</w:t>
            </w:r>
            <w:r w:rsidRPr="008F3BDC">
              <w:rPr>
                <w:rFonts w:ascii="Arial Narrow" w:hAnsi="Arial Narrow" w:cstheme="minorHAnsi"/>
                <w:lang w:val="sk-SK"/>
              </w:rPr>
              <w:t xml:space="preserve"> dopravy</w:t>
            </w:r>
            <w:r w:rsidR="008B0DFF" w:rsidRPr="008F3BDC">
              <w:rPr>
                <w:rFonts w:ascii="Arial Narrow" w:hAnsi="Arial Narrow" w:cstheme="minorHAnsi"/>
                <w:lang w:val="sk-SK"/>
              </w:rPr>
              <w:t>,</w:t>
            </w:r>
            <w:r w:rsidRPr="008F3BDC">
              <w:rPr>
                <w:rFonts w:ascii="Arial Narrow" w:hAnsi="Arial Narrow" w:cstheme="minorHAnsi"/>
                <w:lang w:val="sk-SK"/>
              </w:rPr>
              <w:t xml:space="preserve"> a </w:t>
            </w:r>
            <w:r w:rsidR="00AA54C9" w:rsidRPr="008F3BDC">
              <w:rPr>
                <w:rFonts w:ascii="Arial Narrow" w:hAnsi="Arial Narrow" w:cstheme="minorHAnsi"/>
                <w:lang w:val="sk-SK"/>
              </w:rPr>
              <w:t xml:space="preserve">to </w:t>
            </w:r>
            <w:r w:rsidRPr="008F3BDC">
              <w:rPr>
                <w:rFonts w:ascii="Arial Narrow" w:hAnsi="Arial Narrow" w:cstheme="minorHAnsi"/>
                <w:lang w:val="sk-SK"/>
              </w:rPr>
              <w:t>v súlade so smernicou 2018/2001(5).</w:t>
            </w:r>
          </w:p>
          <w:p w:rsidR="00C26B36" w:rsidRPr="008F3BDC" w:rsidRDefault="00C26B36" w:rsidP="00127F4A">
            <w:pPr>
              <w:jc w:val="both"/>
              <w:rPr>
                <w:rFonts w:ascii="Arial Narrow" w:hAnsi="Arial Narrow" w:cstheme="minorHAnsi"/>
                <w:lang w:val="sk-SK"/>
              </w:rPr>
            </w:pPr>
            <w:r w:rsidRPr="008F3BDC">
              <w:rPr>
                <w:rFonts w:ascii="Arial Narrow" w:hAnsi="Arial Narrow" w:cstheme="minorHAnsi"/>
                <w:lang w:val="sk-SK"/>
              </w:rPr>
              <w:t>Ukazovateľ sa vykazuje oddelene pre i) nabíjacie stanice a ii) čerpacie stanice. V rámci čerpacích staníc sa osobitne vykazujú iii) čerpacie stanice vodíka.</w:t>
            </w:r>
          </w:p>
        </w:tc>
      </w:tr>
      <w:tr w:rsidR="006C5C05" w:rsidRPr="008F3BDC" w:rsidTr="00247A77">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Čas plnenia</w:t>
            </w:r>
          </w:p>
        </w:tc>
        <w:tc>
          <w:tcPr>
            <w:tcW w:w="7447" w:type="dxa"/>
            <w:tcBorders>
              <w:top w:val="single" w:sz="4" w:space="0" w:color="auto"/>
              <w:left w:val="nil"/>
              <w:bottom w:val="single" w:sz="4" w:space="0" w:color="auto"/>
              <w:right w:val="single" w:sz="4" w:space="0" w:color="auto"/>
            </w:tcBorders>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Miesto tankovania/dobíjania sa počíta hneď, ako je uvedené do prevádzky (t. j. pripravené na výrobu alebo už vyrábanie energie), </w:t>
            </w:r>
            <w:r w:rsidR="008B0DFF" w:rsidRPr="008F3BDC">
              <w:rPr>
                <w:rFonts w:ascii="Arial Narrow" w:hAnsi="Arial Narrow" w:cstheme="minorHAnsi"/>
                <w:lang w:val="sk-SK"/>
              </w:rPr>
              <w:t xml:space="preserve">v súlade so </w:t>
            </w:r>
            <w:r w:rsidRPr="008F3BDC">
              <w:rPr>
                <w:rFonts w:ascii="Arial Narrow" w:hAnsi="Arial Narrow" w:cstheme="minorHAnsi"/>
                <w:lang w:val="sk-SK"/>
              </w:rPr>
              <w:t>všeobecný</w:t>
            </w:r>
            <w:r w:rsidR="008B0DFF" w:rsidRPr="008F3BDC">
              <w:rPr>
                <w:rFonts w:ascii="Arial Narrow" w:hAnsi="Arial Narrow" w:cstheme="minorHAnsi"/>
                <w:lang w:val="sk-SK"/>
              </w:rPr>
              <w:t>mi</w:t>
            </w:r>
            <w:r w:rsidRPr="008F3BDC">
              <w:rPr>
                <w:rFonts w:ascii="Arial Narrow" w:hAnsi="Arial Narrow" w:cstheme="minorHAnsi"/>
                <w:lang w:val="sk-SK"/>
              </w:rPr>
              <w:t xml:space="preserve"> zásad</w:t>
            </w:r>
            <w:r w:rsidR="008B0DFF" w:rsidRPr="008F3BDC">
              <w:rPr>
                <w:rFonts w:ascii="Arial Narrow" w:hAnsi="Arial Narrow" w:cstheme="minorHAnsi"/>
                <w:lang w:val="sk-SK"/>
              </w:rPr>
              <w:t>ami</w:t>
            </w:r>
            <w:r w:rsidRPr="008F3BDC">
              <w:rPr>
                <w:rFonts w:ascii="Arial Narrow" w:hAnsi="Arial Narrow" w:cstheme="minorHAnsi"/>
                <w:lang w:val="sk-SK"/>
              </w:rPr>
              <w:t>.</w:t>
            </w:r>
          </w:p>
        </w:tc>
      </w:tr>
      <w:tr w:rsidR="00093EE3" w:rsidRPr="008F3BDC" w:rsidTr="00247A77">
        <w:tc>
          <w:tcPr>
            <w:tcW w:w="2028" w:type="dxa"/>
          </w:tcPr>
          <w:p w:rsidR="00093EE3" w:rsidRPr="008F3BDC" w:rsidRDefault="00093EE3" w:rsidP="00093EE3">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Borders>
              <w:top w:val="single" w:sz="4" w:space="0" w:color="auto"/>
              <w:left w:val="nil"/>
              <w:bottom w:val="single" w:sz="4" w:space="0" w:color="auto"/>
              <w:right w:val="single" w:sz="4" w:space="0" w:color="auto"/>
            </w:tcBorders>
            <w:shd w:val="clear" w:color="auto" w:fill="auto"/>
          </w:tcPr>
          <w:p w:rsidR="00093EE3" w:rsidRPr="008F3BDC" w:rsidRDefault="00093EE3" w:rsidP="00093EE3">
            <w:pPr>
              <w:rPr>
                <w:rFonts w:ascii="Arial Narrow" w:hAnsi="Arial Narrow" w:cstheme="minorHAnsi"/>
                <w:lang w:val="sk-SK"/>
              </w:rPr>
            </w:pPr>
            <w:r w:rsidRPr="008F3BDC">
              <w:rPr>
                <w:rFonts w:ascii="Arial Narrow" w:hAnsi="Arial Narrow" w:cstheme="minorHAnsi"/>
                <w:lang w:val="sk-SK"/>
              </w:rPr>
              <w:t>Tak ako je uvedená v definícii.</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Členenie údajov</w:t>
            </w:r>
          </w:p>
        </w:tc>
        <w:tc>
          <w:tcPr>
            <w:tcW w:w="7447" w:type="dxa"/>
            <w:tcBorders>
              <w:top w:val="single" w:sz="4" w:space="0" w:color="auto"/>
              <w:left w:val="nil"/>
              <w:bottom w:val="single" w:sz="4" w:space="0" w:color="auto"/>
              <w:right w:val="single" w:sz="4" w:space="0" w:color="auto"/>
            </w:tcBorders>
            <w:shd w:val="clear" w:color="auto" w:fill="auto"/>
          </w:tcPr>
          <w:p w:rsidR="00A56FC1" w:rsidRPr="008F3BDC" w:rsidRDefault="00A56FC1" w:rsidP="00A56FC1">
            <w:pPr>
              <w:rPr>
                <w:rFonts w:ascii="Arial Narrow" w:hAnsi="Arial Narrow" w:cstheme="minorHAnsi"/>
                <w:lang w:val="sk-SK"/>
              </w:rPr>
            </w:pPr>
            <w:r w:rsidRPr="008F3BDC">
              <w:rPr>
                <w:rFonts w:ascii="Arial Narrow" w:hAnsi="Arial Narrow" w:cstheme="minorHAnsi"/>
                <w:lang w:val="sk-SK"/>
              </w:rPr>
              <w:t>Člení sa podľa:</w:t>
            </w:r>
          </w:p>
          <w:p w:rsidR="00A56FC1" w:rsidRPr="008F3BDC" w:rsidRDefault="00A56FC1" w:rsidP="00A56FC1">
            <w:pPr>
              <w:pStyle w:val="Odsekzoznamu"/>
              <w:numPr>
                <w:ilvl w:val="0"/>
                <w:numId w:val="5"/>
              </w:numPr>
              <w:rPr>
                <w:rFonts w:ascii="Arial Narrow" w:hAnsi="Arial Narrow" w:cstheme="minorHAnsi"/>
                <w:lang w:val="sk-SK"/>
              </w:rPr>
            </w:pPr>
            <w:r w:rsidRPr="008F3BDC">
              <w:rPr>
                <w:rFonts w:ascii="Arial Narrow" w:hAnsi="Arial Narrow" w:cstheme="minorHAnsi"/>
                <w:lang w:val="sk-SK"/>
              </w:rPr>
              <w:t xml:space="preserve">nabíjacie stanice a </w:t>
            </w:r>
          </w:p>
          <w:p w:rsidR="002C45A8" w:rsidRPr="008F3BDC" w:rsidRDefault="00A56FC1" w:rsidP="002C45A8">
            <w:pPr>
              <w:pStyle w:val="Odsekzoznamu"/>
              <w:numPr>
                <w:ilvl w:val="0"/>
                <w:numId w:val="5"/>
              </w:numPr>
              <w:rPr>
                <w:rFonts w:ascii="Arial Narrow" w:hAnsi="Arial Narrow" w:cstheme="minorHAnsi"/>
                <w:lang w:val="sk-SK"/>
              </w:rPr>
            </w:pPr>
            <w:r w:rsidRPr="008F3BDC">
              <w:rPr>
                <w:rFonts w:ascii="Arial Narrow" w:hAnsi="Arial Narrow" w:cstheme="minorHAnsi"/>
                <w:lang w:val="sk-SK"/>
              </w:rPr>
              <w:t xml:space="preserve">čerpacie stanice. </w:t>
            </w:r>
          </w:p>
          <w:p w:rsidR="00A56FC1" w:rsidRPr="008F3BDC" w:rsidRDefault="00A56FC1" w:rsidP="002C45A8">
            <w:pPr>
              <w:pStyle w:val="Odsekzoznamu"/>
              <w:ind w:left="1080"/>
              <w:rPr>
                <w:rFonts w:ascii="Arial Narrow" w:hAnsi="Arial Narrow" w:cstheme="minorHAnsi"/>
                <w:lang w:val="sk-SK"/>
              </w:rPr>
            </w:pPr>
            <w:r w:rsidRPr="008F3BDC">
              <w:rPr>
                <w:rFonts w:ascii="Arial Narrow" w:hAnsi="Arial Narrow" w:cstheme="minorHAnsi"/>
                <w:lang w:val="sk-SK"/>
              </w:rPr>
              <w:t>V rámci čerpacích staníc sa osobitne vykazujú</w:t>
            </w:r>
          </w:p>
          <w:p w:rsidR="00247A77" w:rsidRPr="008F3BDC" w:rsidRDefault="00DE11B8" w:rsidP="00DE11B8">
            <w:pPr>
              <w:rPr>
                <w:rFonts w:ascii="Arial Narrow" w:hAnsi="Arial Narrow" w:cstheme="minorHAnsi"/>
                <w:lang w:val="sk-SK"/>
              </w:rPr>
            </w:pPr>
            <w:r w:rsidRPr="008F3BDC">
              <w:rPr>
                <w:rFonts w:ascii="Arial Narrow" w:hAnsi="Arial Narrow" w:cstheme="minorHAnsi"/>
                <w:lang w:val="sk-SK"/>
              </w:rPr>
              <w:t xml:space="preserve">       </w:t>
            </w:r>
            <w:r w:rsidR="00A56FC1" w:rsidRPr="008F3BDC">
              <w:rPr>
                <w:rFonts w:ascii="Arial Narrow" w:hAnsi="Arial Narrow" w:cstheme="minorHAnsi"/>
                <w:lang w:val="sk-SK"/>
              </w:rPr>
              <w:t>iii) čerpacie stanice vodíka</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lastRenderedPageBreak/>
              <w:t>Referencie</w:t>
            </w:r>
          </w:p>
        </w:tc>
        <w:tc>
          <w:tcPr>
            <w:tcW w:w="7447" w:type="dxa"/>
            <w:tcBorders>
              <w:top w:val="single" w:sz="4" w:space="0" w:color="auto"/>
              <w:left w:val="nil"/>
              <w:bottom w:val="single" w:sz="4" w:space="0" w:color="auto"/>
              <w:right w:val="single" w:sz="4" w:space="0" w:color="auto"/>
            </w:tcBorders>
            <w:shd w:val="clear" w:color="auto" w:fill="auto"/>
          </w:tcPr>
          <w:p w:rsidR="00247A77" w:rsidRPr="008F3BDC" w:rsidRDefault="00A56FC1" w:rsidP="00247A77">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článok 29 smernice 2018/2001, v ktorom sa stanovujú kritériá udržateľnosti a úspor emisií skleníkových plynov pre biopalivá, biokvapaliny a palivá z biomasy</w:t>
            </w:r>
          </w:p>
        </w:tc>
      </w:tr>
      <w:tr w:rsidR="00247A77" w:rsidRPr="008F3BDC" w:rsidTr="00247A77">
        <w:tc>
          <w:tcPr>
            <w:tcW w:w="2028" w:type="dxa"/>
          </w:tcPr>
          <w:p w:rsidR="00247A77" w:rsidRPr="008F3BDC" w:rsidRDefault="00247A77" w:rsidP="00247A77">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Borders>
              <w:top w:val="single" w:sz="4" w:space="0" w:color="auto"/>
              <w:left w:val="nil"/>
              <w:bottom w:val="single" w:sz="4" w:space="0" w:color="auto"/>
              <w:right w:val="single" w:sz="4" w:space="0" w:color="auto"/>
            </w:tcBorders>
            <w:shd w:val="clear" w:color="auto" w:fill="auto"/>
          </w:tcPr>
          <w:p w:rsidR="00247A77" w:rsidRPr="008F3BDC" w:rsidRDefault="00247A77" w:rsidP="00247A77">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RCO59</w:t>
            </w:r>
            <w:r w:rsidRPr="008F3BDC">
              <w:rPr>
                <w:rFonts w:ascii="Arial Narrow" w:eastAsia="Times New Roman" w:hAnsi="Arial Narrow" w:cstheme="minorHAnsi"/>
                <w:noProof/>
                <w:color w:val="000000"/>
                <w:lang w:val="sk-SK" w:eastAsia="en-IE"/>
              </w:rPr>
              <w:t xml:space="preserve"> </w:t>
            </w:r>
            <w:r w:rsidR="00A56FC1" w:rsidRPr="008F3BDC">
              <w:rPr>
                <w:rFonts w:ascii="Arial Narrow" w:hAnsi="Arial Narrow" w:cstheme="minorHAnsi"/>
                <w:noProof/>
                <w:color w:val="000000"/>
                <w:lang w:val="sk-SK" w:eastAsia="en-IE"/>
              </w:rPr>
              <w:t>Infraštruktúra pre alternatívne palivá (čerpacie/nabíjacie stanice)</w:t>
            </w:r>
          </w:p>
        </w:tc>
      </w:tr>
    </w:tbl>
    <w:p w:rsidR="00247A77" w:rsidRPr="008F3BDC" w:rsidRDefault="00247A77" w:rsidP="00247A77">
      <w:pPr>
        <w:spacing w:after="120"/>
        <w:jc w:val="both"/>
        <w:rPr>
          <w:rFonts w:ascii="Arial Narrow" w:hAnsi="Arial Narrow" w:cstheme="minorHAnsi"/>
          <w:b/>
        </w:rPr>
      </w:pPr>
    </w:p>
    <w:p w:rsidR="006A0374" w:rsidRPr="008F3BDC" w:rsidRDefault="006A0374" w:rsidP="006A0374">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Populácia, ktorá využíva ochranné opatrenia proti povodniam, prírodným požiarom a iným prírodným katastrofám súvisiacim s klímou</w:t>
      </w:r>
    </w:p>
    <w:tbl>
      <w:tblPr>
        <w:tblStyle w:val="Mriekatabuky"/>
        <w:tblW w:w="9475" w:type="dxa"/>
        <w:tblLook w:val="04A0" w:firstRow="1" w:lastRow="0" w:firstColumn="1" w:lastColumn="0" w:noHBand="0" w:noVBand="1"/>
      </w:tblPr>
      <w:tblGrid>
        <w:gridCol w:w="2028"/>
        <w:gridCol w:w="7447"/>
      </w:tblGrid>
      <w:tr w:rsidR="006A0374" w:rsidRPr="008F3BDC" w:rsidTr="0073469E">
        <w:tc>
          <w:tcPr>
            <w:tcW w:w="2028"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RRFCI04</w:t>
            </w:r>
          </w:p>
        </w:tc>
      </w:tr>
      <w:tr w:rsidR="006A0374" w:rsidRPr="008F3BDC" w:rsidTr="00595BD9">
        <w:tc>
          <w:tcPr>
            <w:tcW w:w="2028" w:type="dxa"/>
            <w:shd w:val="clear" w:color="auto" w:fill="auto"/>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6A0374" w:rsidRPr="008F3BDC" w:rsidRDefault="00595BD9" w:rsidP="00595BD9">
            <w:pPr>
              <w:spacing w:after="120"/>
              <w:jc w:val="both"/>
              <w:rPr>
                <w:rFonts w:ascii="Arial Narrow" w:hAnsi="Arial Narrow" w:cstheme="minorHAnsi"/>
                <w:lang w:val="sk-SK"/>
              </w:rPr>
            </w:pPr>
            <w:r w:rsidRPr="008F3BDC">
              <w:rPr>
                <w:rFonts w:ascii="Arial Narrow" w:hAnsi="Arial Narrow" w:cstheme="minorHAnsi"/>
                <w:b/>
                <w:lang w:val="sk-SK"/>
              </w:rPr>
              <w:t>Populácia, ktorá využíva ochranné opatrenia proti povodniam, prírodným požiarom a iným prírodným katastrofám súvisiacim s klímou</w:t>
            </w:r>
          </w:p>
        </w:tc>
      </w:tr>
      <w:tr w:rsidR="006A0374" w:rsidRPr="008F3BDC" w:rsidTr="0073469E">
        <w:tc>
          <w:tcPr>
            <w:tcW w:w="2028" w:type="dxa"/>
            <w:shd w:val="clear" w:color="auto" w:fill="auto"/>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6A0374" w:rsidRPr="008F3BDC" w:rsidRDefault="00595BD9" w:rsidP="006A0374">
            <w:pPr>
              <w:rPr>
                <w:rFonts w:ascii="Arial Narrow" w:hAnsi="Arial Narrow" w:cstheme="minorHAnsi"/>
                <w:lang w:val="sk-SK"/>
              </w:rPr>
            </w:pPr>
            <w:r w:rsidRPr="008F3BDC">
              <w:rPr>
                <w:rFonts w:ascii="Arial Narrow" w:hAnsi="Arial Narrow" w:cstheme="minorHAnsi"/>
                <w:lang w:val="sk-SK"/>
              </w:rPr>
              <w:t>Osoby</w:t>
            </w:r>
          </w:p>
        </w:tc>
      </w:tr>
      <w:tr w:rsidR="006A0374" w:rsidRPr="008F3BDC" w:rsidTr="0073469E">
        <w:tc>
          <w:tcPr>
            <w:tcW w:w="2028" w:type="dxa"/>
            <w:shd w:val="clear" w:color="auto" w:fill="auto"/>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6A0374" w:rsidRPr="008F3BDC" w:rsidRDefault="00DE11B8" w:rsidP="006A0374">
            <w:pPr>
              <w:rPr>
                <w:rFonts w:ascii="Arial Narrow" w:hAnsi="Arial Narrow" w:cstheme="minorHAnsi"/>
                <w:highlight w:val="yellow"/>
                <w:lang w:val="sk-SK"/>
              </w:rPr>
            </w:pPr>
            <w:r w:rsidRPr="008F3BDC">
              <w:rPr>
                <w:rFonts w:ascii="Arial Narrow" w:hAnsi="Arial Narrow" w:cstheme="minorHAnsi"/>
                <w:lang w:val="sk-SK"/>
              </w:rPr>
              <w:t>stavový</w:t>
            </w:r>
          </w:p>
        </w:tc>
      </w:tr>
      <w:tr w:rsidR="006C5C05" w:rsidRPr="008F3BDC" w:rsidTr="0073469E">
        <w:tc>
          <w:tcPr>
            <w:tcW w:w="2028"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 bude 0,</w:t>
            </w:r>
          </w:p>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aktualizovaná bude v rámci každého obdobia podávania správ </w:t>
            </w:r>
          </w:p>
        </w:tc>
      </w:tr>
      <w:tr w:rsidR="006A0374" w:rsidRPr="008F3BDC" w:rsidTr="0073469E">
        <w:tc>
          <w:tcPr>
            <w:tcW w:w="2028" w:type="dxa"/>
            <w:shd w:val="clear" w:color="auto" w:fill="auto"/>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B50C81" w:rsidRPr="008F3BDC" w:rsidRDefault="00B50C81" w:rsidP="00B50C81">
            <w:pPr>
              <w:rPr>
                <w:rFonts w:ascii="Arial Narrow" w:hAnsi="Arial Narrow" w:cstheme="minorHAnsi"/>
                <w:lang w:val="sk-SK"/>
              </w:rPr>
            </w:pPr>
            <w:r w:rsidRPr="008F3BDC">
              <w:rPr>
                <w:rFonts w:ascii="Arial Narrow" w:hAnsi="Arial Narrow" w:cstheme="minorHAnsi"/>
                <w:lang w:val="sk-SK"/>
              </w:rPr>
              <w:t xml:space="preserve">Pilier 1 Zelená </w:t>
            </w:r>
            <w:proofErr w:type="spellStart"/>
            <w:r w:rsidRPr="008F3BDC">
              <w:rPr>
                <w:rFonts w:ascii="Arial Narrow" w:hAnsi="Arial Narrow" w:cstheme="minorHAnsi"/>
                <w:lang w:val="sk-SK"/>
              </w:rPr>
              <w:t>tranformácia</w:t>
            </w:r>
            <w:proofErr w:type="spellEnd"/>
          </w:p>
          <w:p w:rsidR="006A0374" w:rsidRPr="008F3BDC" w:rsidRDefault="00B50C81" w:rsidP="00B50C81">
            <w:pPr>
              <w:rPr>
                <w:rFonts w:ascii="Arial Narrow" w:hAnsi="Arial Narrow" w:cstheme="minorHAnsi"/>
                <w:lang w:val="sk-SK"/>
              </w:rPr>
            </w:pPr>
            <w:r w:rsidRPr="008F3BDC">
              <w:rPr>
                <w:rFonts w:ascii="Arial Narrow" w:hAnsi="Arial Narrow" w:cstheme="minorHAnsi"/>
                <w:lang w:val="sk-SK"/>
              </w:rPr>
              <w:t>Pilier</w:t>
            </w:r>
            <w:r w:rsidR="006A0374" w:rsidRPr="008F3BDC">
              <w:rPr>
                <w:rFonts w:ascii="Arial Narrow" w:hAnsi="Arial Narrow" w:cstheme="minorHAnsi"/>
                <w:lang w:val="sk-SK"/>
              </w:rPr>
              <w:t xml:space="preserve"> 4 </w:t>
            </w:r>
            <w:proofErr w:type="spellStart"/>
            <w:r w:rsidR="006A0374" w:rsidRPr="008F3BDC">
              <w:rPr>
                <w:rFonts w:ascii="Arial Narrow" w:hAnsi="Arial Narrow" w:cstheme="minorHAnsi"/>
                <w:lang w:val="sk-SK"/>
              </w:rPr>
              <w:t>Social</w:t>
            </w:r>
            <w:r w:rsidRPr="008F3BDC">
              <w:rPr>
                <w:rFonts w:ascii="Arial Narrow" w:hAnsi="Arial Narrow" w:cstheme="minorHAnsi"/>
                <w:lang w:val="sk-SK"/>
              </w:rPr>
              <w:t>na</w:t>
            </w:r>
            <w:proofErr w:type="spellEnd"/>
            <w:r w:rsidRPr="008F3BDC">
              <w:rPr>
                <w:rFonts w:ascii="Arial Narrow" w:hAnsi="Arial Narrow" w:cstheme="minorHAnsi"/>
                <w:lang w:val="sk-SK"/>
              </w:rPr>
              <w:t xml:space="preserve"> a územná súdržnosť</w:t>
            </w:r>
          </w:p>
        </w:tc>
      </w:tr>
      <w:tr w:rsidR="006A0374" w:rsidRPr="008F3BDC" w:rsidTr="0073469E">
        <w:tc>
          <w:tcPr>
            <w:tcW w:w="2028" w:type="dxa"/>
            <w:shd w:val="clear" w:color="auto" w:fill="auto"/>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6C7226" w:rsidRPr="008F3BDC" w:rsidRDefault="006C7226" w:rsidP="009B0648">
            <w:pPr>
              <w:jc w:val="both"/>
              <w:rPr>
                <w:rFonts w:ascii="Arial Narrow" w:hAnsi="Arial Narrow" w:cstheme="minorHAnsi"/>
                <w:lang w:val="sk-SK"/>
              </w:rPr>
            </w:pPr>
            <w:r w:rsidRPr="008F3BDC">
              <w:rPr>
                <w:rFonts w:ascii="Arial Narrow" w:hAnsi="Arial Narrow" w:cstheme="minorHAnsi"/>
                <w:lang w:val="sk-SK"/>
              </w:rPr>
              <w:t xml:space="preserve">Počet osôb žijúcich v oblastiach, kde je vybudovaná alebo modernizovaná ochranná infraštruktúra (vrátane zelenej infraštruktúry a riešení inšpirovaných prírodou na adaptáciu na zmenu klímy) </w:t>
            </w:r>
            <w:r w:rsidR="008B0DFF" w:rsidRPr="008F3BDC">
              <w:rPr>
                <w:rFonts w:ascii="Arial Narrow" w:hAnsi="Arial Narrow" w:cstheme="minorHAnsi"/>
                <w:lang w:val="sk-SK"/>
              </w:rPr>
              <w:t xml:space="preserve">, a to </w:t>
            </w:r>
            <w:r w:rsidRPr="008F3BDC">
              <w:rPr>
                <w:rFonts w:ascii="Arial Narrow" w:hAnsi="Arial Narrow" w:cstheme="minorHAnsi"/>
                <w:lang w:val="sk-SK"/>
              </w:rPr>
              <w:t xml:space="preserve">vďaka podpore </w:t>
            </w:r>
            <w:r w:rsidR="008B0DFF" w:rsidRPr="008F3BDC">
              <w:rPr>
                <w:rFonts w:ascii="Arial Narrow" w:hAnsi="Arial Narrow" w:cstheme="minorHAnsi"/>
                <w:lang w:val="sk-SK"/>
              </w:rPr>
              <w:t>prostredníctvom</w:t>
            </w:r>
            <w:r w:rsidRPr="008F3BDC">
              <w:rPr>
                <w:rFonts w:ascii="Arial Narrow" w:hAnsi="Arial Narrow" w:cstheme="minorHAnsi"/>
                <w:lang w:val="sk-SK"/>
              </w:rPr>
              <w:t xml:space="preserve"> opatrení v rámci mechanizmu s cieľom znížiť zraniteľnosť </w:t>
            </w:r>
            <w:r w:rsidR="008F3BDC" w:rsidRPr="008F3BDC">
              <w:rPr>
                <w:rFonts w:ascii="Arial Narrow" w:hAnsi="Arial Narrow" w:cstheme="minorHAnsi"/>
                <w:lang w:val="sk-SK"/>
              </w:rPr>
              <w:t>územia pri</w:t>
            </w:r>
            <w:r w:rsidRPr="008F3BDC">
              <w:rPr>
                <w:rFonts w:ascii="Arial Narrow" w:hAnsi="Arial Narrow" w:cstheme="minorHAnsi"/>
                <w:lang w:val="sk-SK"/>
              </w:rPr>
              <w:t xml:space="preserve"> povodnia</w:t>
            </w:r>
            <w:r w:rsidR="008F3BDC" w:rsidRPr="008F3BDC">
              <w:rPr>
                <w:rFonts w:ascii="Arial Narrow" w:hAnsi="Arial Narrow" w:cstheme="minorHAnsi"/>
                <w:lang w:val="sk-SK"/>
              </w:rPr>
              <w:t>ch</w:t>
            </w:r>
            <w:r w:rsidRPr="008F3BDC">
              <w:rPr>
                <w:rFonts w:ascii="Arial Narrow" w:hAnsi="Arial Narrow" w:cstheme="minorHAnsi"/>
                <w:lang w:val="sk-SK"/>
              </w:rPr>
              <w:t>, prírodný</w:t>
            </w:r>
            <w:r w:rsidR="008F3BDC" w:rsidRPr="008F3BDC">
              <w:rPr>
                <w:rFonts w:ascii="Arial Narrow" w:hAnsi="Arial Narrow" w:cstheme="minorHAnsi"/>
                <w:lang w:val="sk-SK"/>
              </w:rPr>
              <w:t>ch</w:t>
            </w:r>
            <w:r w:rsidRPr="008F3BDC">
              <w:rPr>
                <w:rFonts w:ascii="Arial Narrow" w:hAnsi="Arial Narrow" w:cstheme="minorHAnsi"/>
                <w:lang w:val="sk-SK"/>
              </w:rPr>
              <w:t xml:space="preserve"> požiaro</w:t>
            </w:r>
            <w:r w:rsidR="008F3BDC" w:rsidRPr="008F3BDC">
              <w:rPr>
                <w:rFonts w:ascii="Arial Narrow" w:hAnsi="Arial Narrow" w:cstheme="minorHAnsi"/>
                <w:lang w:val="sk-SK"/>
              </w:rPr>
              <w:t>ch</w:t>
            </w:r>
            <w:r w:rsidRPr="008F3BDC">
              <w:rPr>
                <w:rFonts w:ascii="Arial Narrow" w:hAnsi="Arial Narrow" w:cstheme="minorHAnsi"/>
                <w:lang w:val="sk-SK"/>
              </w:rPr>
              <w:t xml:space="preserve"> a</w:t>
            </w:r>
            <w:r w:rsidR="008F3BDC">
              <w:rPr>
                <w:rFonts w:ascii="Arial Narrow" w:hAnsi="Arial Narrow" w:cstheme="minorHAnsi"/>
                <w:lang w:val="sk-SK"/>
              </w:rPr>
              <w:t> </w:t>
            </w:r>
            <w:r w:rsidRPr="008F3BDC">
              <w:rPr>
                <w:rFonts w:ascii="Arial Narrow" w:hAnsi="Arial Narrow" w:cstheme="minorHAnsi"/>
                <w:lang w:val="sk-SK"/>
              </w:rPr>
              <w:t>iný</w:t>
            </w:r>
            <w:r w:rsidR="008F3BDC">
              <w:rPr>
                <w:rFonts w:ascii="Arial Narrow" w:hAnsi="Arial Narrow" w:cstheme="minorHAnsi"/>
                <w:lang w:val="sk-SK"/>
              </w:rPr>
              <w:t>ch p</w:t>
            </w:r>
            <w:r w:rsidRPr="008F3BDC">
              <w:rPr>
                <w:rFonts w:ascii="Arial Narrow" w:hAnsi="Arial Narrow" w:cstheme="minorHAnsi"/>
                <w:lang w:val="sk-SK"/>
              </w:rPr>
              <w:t>rírodný</w:t>
            </w:r>
            <w:r w:rsidR="008F3BDC">
              <w:rPr>
                <w:rFonts w:ascii="Arial Narrow" w:hAnsi="Arial Narrow" w:cstheme="minorHAnsi"/>
                <w:lang w:val="sk-SK"/>
              </w:rPr>
              <w:t>ch</w:t>
            </w:r>
            <w:r w:rsidRPr="008F3BDC">
              <w:rPr>
                <w:rFonts w:ascii="Arial Narrow" w:hAnsi="Arial Narrow" w:cstheme="minorHAnsi"/>
                <w:lang w:val="sk-SK"/>
              </w:rPr>
              <w:t xml:space="preserve"> riziká</w:t>
            </w:r>
            <w:r w:rsidR="008F3BDC">
              <w:rPr>
                <w:rFonts w:ascii="Arial Narrow" w:hAnsi="Arial Narrow" w:cstheme="minorHAnsi"/>
                <w:lang w:val="sk-SK"/>
              </w:rPr>
              <w:t xml:space="preserve">ch </w:t>
            </w:r>
            <w:r w:rsidRPr="008F3BDC">
              <w:rPr>
                <w:rFonts w:ascii="Arial Narrow" w:hAnsi="Arial Narrow" w:cstheme="minorHAnsi"/>
                <w:lang w:val="sk-SK"/>
              </w:rPr>
              <w:t>súvisiaci</w:t>
            </w:r>
            <w:r w:rsidR="008F3BDC">
              <w:rPr>
                <w:rFonts w:ascii="Arial Narrow" w:hAnsi="Arial Narrow" w:cstheme="minorHAnsi"/>
                <w:lang w:val="sk-SK"/>
              </w:rPr>
              <w:t>ch</w:t>
            </w:r>
            <w:r w:rsidRPr="008F3BDC">
              <w:rPr>
                <w:rFonts w:ascii="Arial Narrow" w:hAnsi="Arial Narrow" w:cstheme="minorHAnsi"/>
                <w:lang w:val="sk-SK"/>
              </w:rPr>
              <w:t xml:space="preserve"> s klímou (búrky, suchá, vlny horúčav).</w:t>
            </w:r>
          </w:p>
          <w:p w:rsidR="006C7226" w:rsidRPr="008F3BDC" w:rsidRDefault="006C7226" w:rsidP="009B0648">
            <w:pPr>
              <w:jc w:val="both"/>
              <w:rPr>
                <w:rFonts w:ascii="Arial Narrow" w:hAnsi="Arial Narrow" w:cstheme="minorHAnsi"/>
                <w:lang w:val="sk-SK"/>
              </w:rPr>
            </w:pPr>
            <w:r w:rsidRPr="008F3BDC">
              <w:rPr>
                <w:rFonts w:ascii="Arial Narrow" w:hAnsi="Arial Narrow" w:cstheme="minorHAnsi"/>
                <w:lang w:val="sk-SK"/>
              </w:rPr>
              <w:t>V prípade požiarov a iných prírodných riz</w:t>
            </w:r>
            <w:r w:rsidR="008F3BDC">
              <w:rPr>
                <w:rFonts w:ascii="Arial Narrow" w:hAnsi="Arial Narrow" w:cstheme="minorHAnsi"/>
                <w:lang w:val="sk-SK"/>
              </w:rPr>
              <w:t>ikách</w:t>
            </w:r>
            <w:r w:rsidRPr="008F3BDC">
              <w:rPr>
                <w:rFonts w:ascii="Arial Narrow" w:hAnsi="Arial Narrow" w:cstheme="minorHAnsi"/>
                <w:lang w:val="sk-SK"/>
              </w:rPr>
              <w:t xml:space="preserve"> súvisiacich s klímou sa ukazovateľ vzťahuje na ochranné opatrenia, ktoré sú jasne lokalizované </w:t>
            </w:r>
            <w:r w:rsidR="008F3BDC">
              <w:rPr>
                <w:rFonts w:ascii="Arial Narrow" w:hAnsi="Arial Narrow" w:cstheme="minorHAnsi"/>
                <w:lang w:val="sk-SK"/>
              </w:rPr>
              <w:t>s </w:t>
            </w:r>
            <w:r w:rsidRPr="008F3BDC">
              <w:rPr>
                <w:rFonts w:ascii="Arial Narrow" w:hAnsi="Arial Narrow" w:cstheme="minorHAnsi"/>
                <w:lang w:val="sk-SK"/>
              </w:rPr>
              <w:t>vysok</w:t>
            </w:r>
            <w:r w:rsidR="008F3BDC">
              <w:rPr>
                <w:rFonts w:ascii="Arial Narrow" w:hAnsi="Arial Narrow" w:cstheme="minorHAnsi"/>
                <w:lang w:val="sk-SK"/>
              </w:rPr>
              <w:t xml:space="preserve">ým </w:t>
            </w:r>
            <w:r w:rsidRPr="008F3BDC">
              <w:rPr>
                <w:rFonts w:ascii="Arial Narrow" w:hAnsi="Arial Narrow" w:cstheme="minorHAnsi"/>
                <w:lang w:val="sk-SK"/>
              </w:rPr>
              <w:t>rizik</w:t>
            </w:r>
            <w:r w:rsidR="008F3BDC">
              <w:rPr>
                <w:rFonts w:ascii="Arial Narrow" w:hAnsi="Arial Narrow" w:cstheme="minorHAnsi"/>
                <w:lang w:val="sk-SK"/>
              </w:rPr>
              <w:t xml:space="preserve">om </w:t>
            </w:r>
            <w:r w:rsidRPr="008F3BDC">
              <w:rPr>
                <w:rFonts w:ascii="Arial Narrow" w:hAnsi="Arial Narrow" w:cstheme="minorHAnsi"/>
                <w:lang w:val="sk-SK"/>
              </w:rPr>
              <w:t>a ktoré sa priamo zaoberajú konkrétnymi rizikami, na rozdiel od všeobecnejších opatrení vykonávaných na vnútroštátnej alebo regionálnej úrovni.</w:t>
            </w:r>
          </w:p>
          <w:p w:rsidR="006C7226" w:rsidRPr="008F3BDC" w:rsidRDefault="006C7226" w:rsidP="009B0648">
            <w:pPr>
              <w:jc w:val="both"/>
              <w:rPr>
                <w:rFonts w:ascii="Arial Narrow" w:hAnsi="Arial Narrow" w:cstheme="minorHAnsi"/>
                <w:lang w:val="sk-SK"/>
              </w:rPr>
            </w:pPr>
            <w:r w:rsidRPr="008F3BDC">
              <w:rPr>
                <w:rFonts w:ascii="Arial Narrow" w:hAnsi="Arial Narrow" w:cstheme="minorHAnsi"/>
                <w:lang w:val="sk-SK"/>
              </w:rPr>
              <w:t xml:space="preserve">V prípade povodní </w:t>
            </w:r>
            <w:r w:rsidR="008F3BDC">
              <w:rPr>
                <w:rFonts w:ascii="Arial Narrow" w:hAnsi="Arial Narrow" w:cstheme="minorHAnsi"/>
                <w:lang w:val="sk-SK"/>
              </w:rPr>
              <w:t xml:space="preserve">sa </w:t>
            </w:r>
            <w:r w:rsidRPr="008F3BDC">
              <w:rPr>
                <w:rFonts w:ascii="Arial Narrow" w:hAnsi="Arial Narrow" w:cstheme="minorHAnsi"/>
                <w:lang w:val="sk-SK"/>
              </w:rPr>
              <w:t xml:space="preserve">ukazovateľ počíta </w:t>
            </w:r>
            <w:r w:rsidR="008F3BDC">
              <w:rPr>
                <w:rFonts w:ascii="Arial Narrow" w:hAnsi="Arial Narrow" w:cstheme="minorHAnsi"/>
                <w:lang w:val="sk-SK"/>
              </w:rPr>
              <w:t>vo vzťahu k</w:t>
            </w:r>
            <w:r w:rsidR="002B742E">
              <w:rPr>
                <w:rFonts w:ascii="Arial Narrow" w:hAnsi="Arial Narrow" w:cstheme="minorHAnsi"/>
                <w:lang w:val="sk-SK"/>
              </w:rPr>
              <w:t> </w:t>
            </w:r>
            <w:r w:rsidRPr="008F3BDC">
              <w:rPr>
                <w:rFonts w:ascii="Arial Narrow" w:hAnsi="Arial Narrow" w:cstheme="minorHAnsi"/>
                <w:lang w:val="sk-SK"/>
              </w:rPr>
              <w:t>ohrozen</w:t>
            </w:r>
            <w:r w:rsidR="002B742E">
              <w:rPr>
                <w:rFonts w:ascii="Arial Narrow" w:hAnsi="Arial Narrow" w:cstheme="minorHAnsi"/>
                <w:lang w:val="sk-SK"/>
              </w:rPr>
              <w:t xml:space="preserve">ému </w:t>
            </w:r>
            <w:r w:rsidRPr="008F3BDC">
              <w:rPr>
                <w:rFonts w:ascii="Arial Narrow" w:hAnsi="Arial Narrow" w:cstheme="minorHAnsi"/>
                <w:lang w:val="sk-SK"/>
              </w:rPr>
              <w:t>obyvateľstv</w:t>
            </w:r>
            <w:r w:rsidR="002B742E">
              <w:rPr>
                <w:rFonts w:ascii="Arial Narrow" w:hAnsi="Arial Narrow" w:cstheme="minorHAnsi"/>
                <w:lang w:val="sk-SK"/>
              </w:rPr>
              <w:t>u</w:t>
            </w:r>
            <w:r w:rsidRPr="008F3BDC">
              <w:rPr>
                <w:rFonts w:ascii="Arial Narrow" w:hAnsi="Arial Narrow" w:cstheme="minorHAnsi"/>
                <w:lang w:val="sk-SK"/>
              </w:rPr>
              <w:t>. Vykazovaná hodnota je počet osôb, ktoré žijú v</w:t>
            </w:r>
            <w:r w:rsidR="002B742E">
              <w:rPr>
                <w:rFonts w:ascii="Arial Narrow" w:hAnsi="Arial Narrow" w:cstheme="minorHAnsi"/>
                <w:lang w:val="sk-SK"/>
              </w:rPr>
              <w:t xml:space="preserve"> </w:t>
            </w:r>
            <w:r w:rsidRPr="008F3BDC">
              <w:rPr>
                <w:rFonts w:ascii="Arial Narrow" w:hAnsi="Arial Narrow" w:cstheme="minorHAnsi"/>
                <w:lang w:val="sk-SK"/>
              </w:rPr>
              <w:t xml:space="preserve">oblasti, kde bola počas vykazovaného obdobia vybudovaná alebo významne modernizovaná infraštruktúra, okrem počtu vykazovaného v predchádzajúcom </w:t>
            </w:r>
            <w:r w:rsidR="002B742E">
              <w:rPr>
                <w:rFonts w:ascii="Arial Narrow" w:hAnsi="Arial Narrow" w:cstheme="minorHAnsi"/>
                <w:lang w:val="sk-SK"/>
              </w:rPr>
              <w:t>období</w:t>
            </w:r>
            <w:r w:rsidRPr="008F3BDC">
              <w:rPr>
                <w:rFonts w:ascii="Arial Narrow" w:hAnsi="Arial Narrow" w:cstheme="minorHAnsi"/>
                <w:lang w:val="sk-SK"/>
              </w:rPr>
              <w:t xml:space="preserve"> vykazovania.</w:t>
            </w:r>
          </w:p>
        </w:tc>
      </w:tr>
      <w:tr w:rsidR="006C5C05" w:rsidRPr="008F3BDC" w:rsidTr="0073469E">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Čas plnenia</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Počet osôb sa počíta od dátumu, kedy </w:t>
            </w:r>
            <w:r w:rsidR="002B742E">
              <w:rPr>
                <w:rFonts w:ascii="Arial Narrow" w:hAnsi="Arial Narrow" w:cstheme="minorHAnsi"/>
                <w:lang w:val="sk-SK"/>
              </w:rPr>
              <w:t xml:space="preserve">bola </w:t>
            </w:r>
            <w:r w:rsidRPr="008F3BDC">
              <w:rPr>
                <w:rFonts w:ascii="Arial Narrow" w:hAnsi="Arial Narrow" w:cstheme="minorHAnsi"/>
                <w:lang w:val="sk-SK"/>
              </w:rPr>
              <w:t xml:space="preserve"> infraštruktúra podporovaná </w:t>
            </w:r>
            <w:r w:rsidR="002B742E">
              <w:rPr>
                <w:rFonts w:ascii="Arial Narrow" w:hAnsi="Arial Narrow" w:cstheme="minorHAnsi"/>
                <w:lang w:val="sk-SK"/>
              </w:rPr>
              <w:t xml:space="preserve">prostredníctvom </w:t>
            </w:r>
            <w:r w:rsidRPr="008F3BDC">
              <w:rPr>
                <w:rFonts w:ascii="Arial Narrow" w:hAnsi="Arial Narrow" w:cstheme="minorHAnsi"/>
                <w:lang w:val="sk-SK"/>
              </w:rPr>
              <w:t>opatren</w:t>
            </w:r>
            <w:r w:rsidR="002B742E">
              <w:rPr>
                <w:rFonts w:ascii="Arial Narrow" w:hAnsi="Arial Narrow" w:cstheme="minorHAnsi"/>
                <w:lang w:val="sk-SK"/>
              </w:rPr>
              <w:t>í</w:t>
            </w:r>
            <w:r w:rsidRPr="008F3BDC">
              <w:rPr>
                <w:rFonts w:ascii="Arial Narrow" w:hAnsi="Arial Narrow" w:cstheme="minorHAnsi"/>
                <w:lang w:val="sk-SK"/>
              </w:rPr>
              <w:t xml:space="preserve"> v rámci mechanizmu </w:t>
            </w:r>
            <w:r w:rsidR="002B742E">
              <w:rPr>
                <w:rFonts w:ascii="Arial Narrow" w:hAnsi="Arial Narrow" w:cstheme="minorHAnsi"/>
                <w:lang w:val="sk-SK"/>
              </w:rPr>
              <w:t>uvedená do</w:t>
            </w:r>
            <w:r w:rsidRPr="008F3BDC">
              <w:rPr>
                <w:rFonts w:ascii="Arial Narrow" w:hAnsi="Arial Narrow" w:cstheme="minorHAnsi"/>
                <w:lang w:val="sk-SK"/>
              </w:rPr>
              <w:t xml:space="preserve"> prevádzk</w:t>
            </w:r>
            <w:r w:rsidR="002B742E">
              <w:rPr>
                <w:rFonts w:ascii="Arial Narrow" w:hAnsi="Arial Narrow" w:cstheme="minorHAnsi"/>
                <w:lang w:val="sk-SK"/>
              </w:rPr>
              <w:t>y</w:t>
            </w:r>
            <w:r w:rsidRPr="008F3BDC">
              <w:rPr>
                <w:rFonts w:ascii="Arial Narrow" w:hAnsi="Arial Narrow" w:cstheme="minorHAnsi"/>
                <w:lang w:val="sk-SK"/>
              </w:rPr>
              <w:t xml:space="preserve"> (ako je definované vo všeobecných zásadách).</w:t>
            </w:r>
          </w:p>
        </w:tc>
      </w:tr>
      <w:tr w:rsidR="006A0374" w:rsidRPr="008F3BDC" w:rsidTr="0073469E">
        <w:tc>
          <w:tcPr>
            <w:tcW w:w="2028"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6A0374" w:rsidRPr="008F3BDC" w:rsidRDefault="00B3390C" w:rsidP="006A0374">
            <w:pPr>
              <w:rPr>
                <w:rFonts w:ascii="Arial Narrow" w:hAnsi="Arial Narrow" w:cstheme="minorHAnsi"/>
                <w:lang w:val="sk-SK"/>
              </w:rPr>
            </w:pPr>
            <w:r w:rsidRPr="008F3BDC">
              <w:rPr>
                <w:rFonts w:ascii="Arial Narrow" w:hAnsi="Arial Narrow" w:cstheme="minorHAnsi"/>
                <w:lang w:val="sk-SK"/>
              </w:rPr>
              <w:t>Hodnoty je potrebné vykazovať</w:t>
            </w:r>
            <w:r w:rsidR="0001587B" w:rsidRPr="008F3BDC">
              <w:rPr>
                <w:rFonts w:ascii="Arial Narrow" w:hAnsi="Arial Narrow" w:cstheme="minorHAnsi"/>
                <w:lang w:val="sk-SK"/>
              </w:rPr>
              <w:t xml:space="preserve"> pre každú novú infraštruktúru bez ohľadu na to, či prispieva k ochrane rovnakého obyvateľstva ako iná podporovaná infraštruktúra, keďže rovnaké obyvateľstvo môže byť vystavené viacerým rizikám.</w:t>
            </w:r>
          </w:p>
        </w:tc>
      </w:tr>
      <w:tr w:rsidR="006A0374" w:rsidRPr="008F3BDC" w:rsidTr="0073469E">
        <w:tc>
          <w:tcPr>
            <w:tcW w:w="2028"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6A0374" w:rsidRPr="008F3BDC" w:rsidRDefault="00B3390C" w:rsidP="006A0374">
            <w:pPr>
              <w:rPr>
                <w:rFonts w:ascii="Arial Narrow" w:hAnsi="Arial Narrow" w:cstheme="minorHAnsi"/>
                <w:lang w:val="sk-SK"/>
              </w:rPr>
            </w:pPr>
            <w:r w:rsidRPr="008F3BDC">
              <w:rPr>
                <w:rFonts w:ascii="Arial Narrow" w:hAnsi="Arial Narrow" w:cstheme="minorHAnsi"/>
                <w:lang w:val="sk-SK"/>
              </w:rPr>
              <w:t>Žiadne</w:t>
            </w:r>
          </w:p>
        </w:tc>
      </w:tr>
      <w:tr w:rsidR="006A0374" w:rsidRPr="008F3BDC" w:rsidTr="0073469E">
        <w:tc>
          <w:tcPr>
            <w:tcW w:w="2028"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B3390C" w:rsidRPr="008F3BDC" w:rsidRDefault="00B3390C" w:rsidP="00B3390C">
            <w:pPr>
              <w:rPr>
                <w:rFonts w:ascii="Arial Narrow" w:hAnsi="Arial Narrow" w:cstheme="minorHAnsi"/>
                <w:lang w:val="sk-SK"/>
              </w:rPr>
            </w:pPr>
            <w:r w:rsidRPr="008F3BDC">
              <w:rPr>
                <w:rFonts w:ascii="Arial Narrow" w:hAnsi="Arial Narrow" w:cstheme="minorHAnsi"/>
                <w:lang w:val="sk-SK"/>
              </w:rPr>
              <w:t xml:space="preserve">Rizikové oblasti a populácie sú definované v Stratégii EÚ pre adaptáciu na </w:t>
            </w:r>
          </w:p>
          <w:p w:rsidR="006A0374" w:rsidRPr="008F3BDC" w:rsidRDefault="00B3390C" w:rsidP="00B3390C">
            <w:pPr>
              <w:rPr>
                <w:rFonts w:ascii="Arial Narrow" w:hAnsi="Arial Narrow" w:cstheme="minorHAnsi"/>
                <w:lang w:val="sk-SK"/>
              </w:rPr>
            </w:pPr>
            <w:r w:rsidRPr="008F3BDC">
              <w:rPr>
                <w:rFonts w:ascii="Arial Narrow" w:hAnsi="Arial Narrow" w:cstheme="minorHAnsi"/>
                <w:lang w:val="sk-SK"/>
              </w:rPr>
              <w:t>zmenu klímy</w:t>
            </w:r>
            <w:r w:rsidRPr="008F3BDC">
              <w:rPr>
                <w:rFonts w:ascii="Arial Narrow" w:hAnsi="Arial Narrow" w:cstheme="minorHAnsi"/>
                <w:lang w:val="sk-SK"/>
              </w:rPr>
              <w:cr/>
            </w:r>
            <w:r w:rsidR="006A0374" w:rsidRPr="008F3BDC">
              <w:rPr>
                <w:rStyle w:val="Odkaznapoznmkupodiarou"/>
                <w:rFonts w:ascii="Arial Narrow" w:hAnsi="Arial Narrow" w:cstheme="minorHAnsi"/>
                <w:lang w:val="sk-SK"/>
              </w:rPr>
              <w:footnoteReference w:id="6"/>
            </w:r>
          </w:p>
        </w:tc>
      </w:tr>
      <w:tr w:rsidR="006A0374" w:rsidRPr="008F3BDC" w:rsidTr="0073469E">
        <w:tc>
          <w:tcPr>
            <w:tcW w:w="2028" w:type="dxa"/>
          </w:tcPr>
          <w:p w:rsidR="006A0374" w:rsidRPr="008F3BDC" w:rsidRDefault="006A0374" w:rsidP="006A0374">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9651CA" w:rsidRPr="008F3BDC" w:rsidRDefault="009651CA" w:rsidP="009651CA">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RCR35 Obyvateľstvo využívajúce opatrenia na ochranu pred povodňami</w:t>
            </w:r>
          </w:p>
          <w:p w:rsidR="009651CA" w:rsidRPr="008F3BDC" w:rsidRDefault="009651CA" w:rsidP="009651CA">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RCR36 Populácia využívajúca opatrenia na ochranu pred požiarmi</w:t>
            </w:r>
          </w:p>
          <w:p w:rsidR="006A0374" w:rsidRPr="008F3BDC" w:rsidRDefault="009651CA" w:rsidP="009651CA">
            <w:pPr>
              <w:rPr>
                <w:rFonts w:ascii="Arial Narrow" w:hAnsi="Arial Narrow" w:cstheme="minorHAnsi"/>
                <w:lang w:val="sk-SK"/>
              </w:rPr>
            </w:pPr>
            <w:r w:rsidRPr="008F3BDC">
              <w:rPr>
                <w:rFonts w:ascii="Arial Narrow" w:hAnsi="Arial Narrow" w:cstheme="minorHAnsi"/>
                <w:noProof/>
                <w:color w:val="000000"/>
                <w:lang w:val="sk-SK" w:eastAsia="en-IE"/>
              </w:rPr>
              <w:t>RCR37 Obyvateľstvo využívajúce ochranné opatrenia proti prírodnej katastrofe súvisiacej s klímou (okrem povodní a požiarov)</w:t>
            </w:r>
          </w:p>
        </w:tc>
      </w:tr>
    </w:tbl>
    <w:p w:rsidR="006A0374" w:rsidRPr="008F3BDC" w:rsidRDefault="006A0374" w:rsidP="00757CD8">
      <w:pPr>
        <w:spacing w:after="120"/>
        <w:jc w:val="both"/>
        <w:rPr>
          <w:rFonts w:ascii="Arial Narrow" w:hAnsi="Arial Narrow" w:cstheme="minorHAnsi"/>
          <w:b/>
        </w:rPr>
      </w:pPr>
    </w:p>
    <w:p w:rsidR="001E153E" w:rsidRPr="008F3BDC" w:rsidRDefault="001E153E" w:rsidP="001E153E">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Dodatočné obydlia s prístupom na internet prostredníctvom sietí s veľmi vysokou kapacitou</w:t>
      </w:r>
    </w:p>
    <w:p w:rsidR="001E153E" w:rsidRPr="008F3BDC" w:rsidRDefault="001E153E" w:rsidP="001E153E">
      <w:pPr>
        <w:spacing w:after="120"/>
        <w:jc w:val="both"/>
        <w:rPr>
          <w:rFonts w:ascii="Arial Narrow" w:hAnsi="Arial Narrow" w:cstheme="minorHAnsi"/>
        </w:rPr>
      </w:pPr>
      <w:r w:rsidRPr="008F3BDC">
        <w:rPr>
          <w:rFonts w:ascii="Arial Narrow" w:hAnsi="Arial Narrow" w:cstheme="minorHAnsi"/>
        </w:rPr>
        <w:lastRenderedPageBreak/>
        <w:t>V rámci mechanizmu v podmienkach SR sa uvedený ukazovateľ nebude vykazovať.</w:t>
      </w:r>
    </w:p>
    <w:p w:rsidR="001E153E" w:rsidRPr="008F3BDC" w:rsidRDefault="001E153E" w:rsidP="001E153E">
      <w:pPr>
        <w:spacing w:after="120"/>
        <w:jc w:val="both"/>
        <w:rPr>
          <w:rFonts w:ascii="Arial Narrow" w:hAnsi="Arial Narrow" w:cstheme="minorHAnsi"/>
        </w:rPr>
      </w:pPr>
    </w:p>
    <w:p w:rsidR="001E153E" w:rsidRPr="008F3BDC" w:rsidRDefault="001E153E" w:rsidP="00757CD8">
      <w:pPr>
        <w:pStyle w:val="Odsekzoznamu"/>
        <w:keepNext/>
        <w:numPr>
          <w:ilvl w:val="0"/>
          <w:numId w:val="2"/>
        </w:numPr>
        <w:spacing w:after="120"/>
        <w:jc w:val="both"/>
        <w:rPr>
          <w:rFonts w:ascii="Arial Narrow" w:hAnsi="Arial Narrow" w:cstheme="minorHAnsi"/>
          <w:b/>
        </w:rPr>
      </w:pPr>
      <w:r w:rsidRPr="008F3BDC">
        <w:rPr>
          <w:rFonts w:ascii="Arial Narrow" w:hAnsi="Arial Narrow" w:cstheme="minorHAnsi"/>
          <w:b/>
        </w:rPr>
        <w:t>Podniky podporované pri vývoji alebo využívaní digitálnych produktov, služieb a aplikačných procesov</w:t>
      </w:r>
    </w:p>
    <w:tbl>
      <w:tblPr>
        <w:tblStyle w:val="Mriekatabuky"/>
        <w:tblW w:w="9475" w:type="dxa"/>
        <w:tblLook w:val="04A0" w:firstRow="1" w:lastRow="0" w:firstColumn="1" w:lastColumn="0" w:noHBand="0" w:noVBand="1"/>
      </w:tblPr>
      <w:tblGrid>
        <w:gridCol w:w="2028"/>
        <w:gridCol w:w="7447"/>
      </w:tblGrid>
      <w:tr w:rsidR="001E153E" w:rsidRPr="008F3BDC" w:rsidTr="001E153E">
        <w:tc>
          <w:tcPr>
            <w:tcW w:w="2028" w:type="dxa"/>
          </w:tcPr>
          <w:p w:rsidR="001E153E" w:rsidRPr="008F3BDC" w:rsidRDefault="001E153E" w:rsidP="00757CD8">
            <w:pPr>
              <w:keepNext/>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1E153E" w:rsidRPr="008F3BDC" w:rsidRDefault="001E153E" w:rsidP="00757CD8">
            <w:pPr>
              <w:keepNext/>
              <w:rPr>
                <w:rFonts w:ascii="Arial Narrow" w:hAnsi="Arial Narrow" w:cstheme="minorHAnsi"/>
                <w:lang w:val="sk-SK"/>
              </w:rPr>
            </w:pPr>
            <w:r w:rsidRPr="008F3BDC">
              <w:rPr>
                <w:rFonts w:ascii="Arial Narrow" w:hAnsi="Arial Narrow" w:cstheme="minorHAnsi"/>
                <w:lang w:val="sk-SK"/>
              </w:rPr>
              <w:t>RRFCI06</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1E153E" w:rsidRPr="008F3BDC" w:rsidRDefault="001E153E" w:rsidP="001E153E">
            <w:pPr>
              <w:spacing w:after="120"/>
              <w:jc w:val="both"/>
              <w:rPr>
                <w:rFonts w:ascii="Arial Narrow" w:hAnsi="Arial Narrow" w:cstheme="minorHAnsi"/>
                <w:lang w:val="sk-SK"/>
              </w:rPr>
            </w:pPr>
            <w:r w:rsidRPr="008F3BDC">
              <w:rPr>
                <w:rFonts w:ascii="Arial Narrow" w:hAnsi="Arial Narrow" w:cstheme="minorHAnsi"/>
                <w:b/>
                <w:lang w:val="sk-SK"/>
              </w:rPr>
              <w:t xml:space="preserve">Podniky podporované </w:t>
            </w:r>
            <w:r w:rsidR="002B742E">
              <w:rPr>
                <w:rFonts w:ascii="Arial Narrow" w:hAnsi="Arial Narrow" w:cstheme="minorHAnsi"/>
                <w:b/>
                <w:lang w:val="sk-SK"/>
              </w:rPr>
              <w:t>v oblasti</w:t>
            </w:r>
            <w:r w:rsidRPr="008F3BDC">
              <w:rPr>
                <w:rFonts w:ascii="Arial Narrow" w:hAnsi="Arial Narrow" w:cstheme="minorHAnsi"/>
                <w:b/>
                <w:lang w:val="sk-SK"/>
              </w:rPr>
              <w:t xml:space="preserve"> vývoj</w:t>
            </w:r>
            <w:r w:rsidR="002B742E">
              <w:rPr>
                <w:rFonts w:ascii="Arial Narrow" w:hAnsi="Arial Narrow" w:cstheme="minorHAnsi"/>
                <w:b/>
                <w:lang w:val="sk-SK"/>
              </w:rPr>
              <w:t xml:space="preserve">a </w:t>
            </w:r>
            <w:r w:rsidRPr="008F3BDC">
              <w:rPr>
                <w:rFonts w:ascii="Arial Narrow" w:hAnsi="Arial Narrow" w:cstheme="minorHAnsi"/>
                <w:b/>
                <w:lang w:val="sk-SK"/>
              </w:rPr>
              <w:t xml:space="preserve"> alebo</w:t>
            </w:r>
            <w:r w:rsidR="002B742E">
              <w:rPr>
                <w:rFonts w:ascii="Arial Narrow" w:hAnsi="Arial Narrow" w:cstheme="minorHAnsi"/>
                <w:b/>
                <w:lang w:val="sk-SK"/>
              </w:rPr>
              <w:t xml:space="preserve"> pri </w:t>
            </w:r>
            <w:r w:rsidRPr="008F3BDC">
              <w:rPr>
                <w:rFonts w:ascii="Arial Narrow" w:hAnsi="Arial Narrow" w:cstheme="minorHAnsi"/>
                <w:b/>
                <w:lang w:val="sk-SK"/>
              </w:rPr>
              <w:t xml:space="preserve"> využívaní digitálnych produktov, služieb a aplikačných procesov</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1E153E" w:rsidRPr="008F3BDC" w:rsidRDefault="001E153E" w:rsidP="001E153E">
            <w:pPr>
              <w:pStyle w:val="Default"/>
              <w:rPr>
                <w:rFonts w:ascii="Arial Narrow" w:hAnsi="Arial Narrow" w:cstheme="minorHAnsi"/>
                <w:sz w:val="22"/>
                <w:szCs w:val="22"/>
                <w:lang w:val="sk-SK"/>
              </w:rPr>
            </w:pPr>
            <w:r w:rsidRPr="008F3BDC">
              <w:rPr>
                <w:rFonts w:ascii="Arial Narrow" w:hAnsi="Arial Narrow" w:cstheme="minorHAnsi"/>
                <w:sz w:val="22"/>
                <w:szCs w:val="22"/>
                <w:lang w:val="sk-SK"/>
              </w:rPr>
              <w:t>podniky</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1E153E" w:rsidRPr="008F3BDC" w:rsidRDefault="00DE11B8" w:rsidP="001E153E">
            <w:pPr>
              <w:rPr>
                <w:rFonts w:ascii="Arial Narrow" w:hAnsi="Arial Narrow" w:cstheme="minorHAnsi"/>
                <w:lang w:val="sk-SK"/>
              </w:rPr>
            </w:pPr>
            <w:r w:rsidRPr="008F3BDC">
              <w:rPr>
                <w:rFonts w:ascii="Arial Narrow" w:hAnsi="Arial Narrow" w:cstheme="minorHAnsi"/>
                <w:lang w:val="sk-SK"/>
              </w:rPr>
              <w:t xml:space="preserve">Priebežný - </w:t>
            </w:r>
            <w:r w:rsidR="002B742E">
              <w:rPr>
                <w:rFonts w:ascii="Arial Narrow" w:hAnsi="Arial Narrow" w:cstheme="minorHAnsi"/>
                <w:lang w:val="sk-SK"/>
              </w:rPr>
              <w:t>v</w:t>
            </w:r>
            <w:r w:rsidR="00CD7E29" w:rsidRPr="008F3BDC">
              <w:rPr>
                <w:rFonts w:ascii="Arial Narrow" w:hAnsi="Arial Narrow" w:cstheme="minorHAnsi"/>
                <w:lang w:val="sk-SK"/>
              </w:rPr>
              <w:t>ykazovaný priebežne – hodnoty sú reportované len za sledované obdobie</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1E153E" w:rsidRPr="008F3BDC" w:rsidRDefault="00791A2B" w:rsidP="001E153E">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1E153E" w:rsidRPr="008F3BDC" w:rsidRDefault="00BA6C66" w:rsidP="001E153E">
            <w:pPr>
              <w:rPr>
                <w:rFonts w:ascii="Arial Narrow" w:hAnsi="Arial Narrow" w:cstheme="minorHAnsi"/>
                <w:lang w:val="sk-SK"/>
              </w:rPr>
            </w:pPr>
            <w:r w:rsidRPr="008F3BDC">
              <w:rPr>
                <w:rFonts w:ascii="Arial Narrow" w:hAnsi="Arial Narrow" w:cstheme="minorHAnsi"/>
                <w:lang w:val="sk-SK"/>
              </w:rPr>
              <w:t>Pil</w:t>
            </w:r>
            <w:r w:rsidR="006E6D28">
              <w:rPr>
                <w:rFonts w:ascii="Arial Narrow" w:hAnsi="Arial Narrow" w:cstheme="minorHAnsi"/>
                <w:lang w:val="sk-SK"/>
              </w:rPr>
              <w:t>ie</w:t>
            </w:r>
            <w:r w:rsidRPr="008F3BDC">
              <w:rPr>
                <w:rFonts w:ascii="Arial Narrow" w:hAnsi="Arial Narrow" w:cstheme="minorHAnsi"/>
                <w:lang w:val="sk-SK"/>
              </w:rPr>
              <w:t>r 2 Digitálna transformácia</w:t>
            </w:r>
          </w:p>
          <w:p w:rsidR="001E153E" w:rsidRPr="008F3BDC" w:rsidRDefault="00FF02C8" w:rsidP="001E153E">
            <w:pPr>
              <w:rPr>
                <w:rFonts w:ascii="Arial Narrow" w:hAnsi="Arial Narrow" w:cstheme="minorHAnsi"/>
                <w:lang w:val="sk-SK"/>
              </w:rPr>
            </w:pPr>
            <w:r w:rsidRPr="008F3BDC">
              <w:rPr>
                <w:rFonts w:ascii="Arial Narrow" w:hAnsi="Arial Narrow" w:cstheme="minorHAnsi"/>
                <w:lang w:val="sk-SK"/>
              </w:rPr>
              <w:t xml:space="preserve">Pilier 3 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tvorby pracovných miest, produktivity, konkurencieschopnosti, výskumu, vývoja a inovácií a dobre fungujúci vnútorný trh podporujúci MSP</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ED4498" w:rsidRPr="008F3BDC" w:rsidRDefault="00ED4498" w:rsidP="002B7E2E">
            <w:pPr>
              <w:jc w:val="both"/>
              <w:rPr>
                <w:rFonts w:ascii="Arial Narrow" w:hAnsi="Arial Narrow" w:cstheme="minorHAnsi"/>
                <w:lang w:val="sk-SK"/>
              </w:rPr>
            </w:pPr>
            <w:r w:rsidRPr="008F3BDC">
              <w:rPr>
                <w:rFonts w:ascii="Arial Narrow" w:hAnsi="Arial Narrow" w:cstheme="minorHAnsi"/>
                <w:lang w:val="sk-SK"/>
              </w:rPr>
              <w:t xml:space="preserve">Počet podnikov podporovaných </w:t>
            </w:r>
            <w:r w:rsidR="002B742E">
              <w:rPr>
                <w:rFonts w:ascii="Arial Narrow" w:hAnsi="Arial Narrow" w:cstheme="minorHAnsi"/>
                <w:lang w:val="sk-SK"/>
              </w:rPr>
              <w:t xml:space="preserve">v oblasti </w:t>
            </w:r>
            <w:r w:rsidRPr="008F3BDC">
              <w:rPr>
                <w:rFonts w:ascii="Arial Narrow" w:hAnsi="Arial Narrow" w:cstheme="minorHAnsi"/>
                <w:lang w:val="sk-SK"/>
              </w:rPr>
              <w:t xml:space="preserve"> vývoj</w:t>
            </w:r>
            <w:r w:rsidR="002B742E">
              <w:rPr>
                <w:rFonts w:ascii="Arial Narrow" w:hAnsi="Arial Narrow" w:cstheme="minorHAnsi"/>
                <w:lang w:val="sk-SK"/>
              </w:rPr>
              <w:t>a</w:t>
            </w:r>
            <w:r w:rsidRPr="008F3BDC">
              <w:rPr>
                <w:rFonts w:ascii="Arial Narrow" w:hAnsi="Arial Narrow" w:cstheme="minorHAnsi"/>
                <w:lang w:val="sk-SK"/>
              </w:rPr>
              <w:t xml:space="preserve"> alebo </w:t>
            </w:r>
            <w:r w:rsidR="002B742E">
              <w:rPr>
                <w:rFonts w:ascii="Arial Narrow" w:hAnsi="Arial Narrow" w:cstheme="minorHAnsi"/>
                <w:lang w:val="sk-SK"/>
              </w:rPr>
              <w:t xml:space="preserve">pri </w:t>
            </w:r>
            <w:r w:rsidRPr="008F3BDC">
              <w:rPr>
                <w:rFonts w:ascii="Arial Narrow" w:hAnsi="Arial Narrow" w:cstheme="minorHAnsi"/>
                <w:lang w:val="sk-SK"/>
              </w:rPr>
              <w:t>využívaní nových alebo významne modernizovaných služieb, produktov a procesov založených na digitálnych technológiách</w:t>
            </w:r>
            <w:r w:rsidR="002B742E">
              <w:rPr>
                <w:rFonts w:ascii="Arial Narrow" w:hAnsi="Arial Narrow" w:cstheme="minorHAnsi"/>
                <w:lang w:val="sk-SK"/>
              </w:rPr>
              <w:t xml:space="preserve">, a to </w:t>
            </w:r>
            <w:r w:rsidRPr="008F3BDC">
              <w:rPr>
                <w:rFonts w:ascii="Arial Narrow" w:hAnsi="Arial Narrow" w:cstheme="minorHAnsi"/>
                <w:lang w:val="sk-SK"/>
              </w:rPr>
              <w:t xml:space="preserve"> vďaka podpore pochádzajúcej z opatrení v rámci mechanizmu. Patria sem pokročilé digitálne technológie, ako je automatizácia, umelá inteligencia, kybernetická bezpečnosť, </w:t>
            </w:r>
            <w:proofErr w:type="spellStart"/>
            <w:r w:rsidRPr="008F3BDC">
              <w:rPr>
                <w:rFonts w:ascii="Arial Narrow" w:hAnsi="Arial Narrow" w:cstheme="minorHAnsi"/>
                <w:lang w:val="sk-SK"/>
              </w:rPr>
              <w:t>blockchain</w:t>
            </w:r>
            <w:proofErr w:type="spellEnd"/>
            <w:r w:rsidRPr="008F3BDC">
              <w:rPr>
                <w:rFonts w:ascii="Arial Narrow" w:hAnsi="Arial Narrow" w:cstheme="minorHAnsi"/>
                <w:lang w:val="sk-SK"/>
              </w:rPr>
              <w:t xml:space="preserve">, </w:t>
            </w:r>
            <w:proofErr w:type="spellStart"/>
            <w:r w:rsidRPr="008F3BDC">
              <w:rPr>
                <w:rFonts w:ascii="Arial Narrow" w:hAnsi="Arial Narrow" w:cstheme="minorHAnsi"/>
                <w:lang w:val="sk-SK"/>
              </w:rPr>
              <w:t>cloudové</w:t>
            </w:r>
            <w:proofErr w:type="spellEnd"/>
            <w:r w:rsidRPr="008F3BDC">
              <w:rPr>
                <w:rFonts w:ascii="Arial Narrow" w:hAnsi="Arial Narrow" w:cstheme="minorHAnsi"/>
                <w:lang w:val="sk-SK"/>
              </w:rPr>
              <w:t xml:space="preserve"> a </w:t>
            </w:r>
            <w:proofErr w:type="spellStart"/>
            <w:r w:rsidRPr="008F3BDC">
              <w:rPr>
                <w:rFonts w:ascii="Arial Narrow" w:hAnsi="Arial Narrow" w:cstheme="minorHAnsi"/>
                <w:lang w:val="sk-SK"/>
              </w:rPr>
              <w:t>edgové</w:t>
            </w:r>
            <w:proofErr w:type="spellEnd"/>
            <w:r w:rsidRPr="008F3BDC">
              <w:rPr>
                <w:rFonts w:ascii="Arial Narrow" w:hAnsi="Arial Narrow" w:cstheme="minorHAnsi"/>
                <w:lang w:val="sk-SK"/>
              </w:rPr>
              <w:t xml:space="preserve"> infraštruktúry a dátové priestory, kvantová a vysokovýkonná výpočtová technika.</w:t>
            </w:r>
            <w:r w:rsidR="00860561">
              <w:rPr>
                <w:rFonts w:ascii="Arial Narrow" w:hAnsi="Arial Narrow" w:cstheme="minorHAnsi"/>
                <w:lang w:val="sk-SK"/>
              </w:rPr>
              <w:t xml:space="preserve"> </w:t>
            </w:r>
            <w:r w:rsidR="00CC447F" w:rsidRPr="00860561">
              <w:rPr>
                <w:rFonts w:ascii="Arial Narrow" w:hAnsi="Arial Narrow" w:cstheme="minorHAnsi"/>
                <w:lang w:val="sk-SK"/>
              </w:rPr>
              <w:t>Významná modernizácia sa vzťahuje len na nové funkcie. Informácie sa preto zbierajú oddelene i) pre podniky podporované pri vývoji digitálnych technológií a riešení a ii) pre podniky podporované pri využívaní digitálnych riešení na transformáciu svojich služieb, produktov alebo procesov. Zbierajú sa aj podľa veľkosti podniku. Podnik sa započítava raz bez ohľadu na to, koľkokrát dostane podporu na digitalizáciu prostredníctvom opatrení v rámci mechanizmu. Podnik a členenie podľa veľkosti podniku sa vymedzujú podľa definície prijatej pre ukazovateľ 9.</w:t>
            </w:r>
          </w:p>
        </w:tc>
      </w:tr>
      <w:tr w:rsidR="006C5C05" w:rsidRPr="008F3BDC" w:rsidTr="001E153E">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Čas plnenia</w:t>
            </w:r>
          </w:p>
        </w:tc>
        <w:tc>
          <w:tcPr>
            <w:tcW w:w="7447" w:type="dxa"/>
          </w:tcPr>
          <w:p w:rsidR="006C5C05" w:rsidRPr="008F3BDC" w:rsidRDefault="00E64D33" w:rsidP="006C5C05">
            <w:pPr>
              <w:rPr>
                <w:rFonts w:ascii="Arial Narrow" w:hAnsi="Arial Narrow" w:cstheme="minorHAnsi"/>
                <w:noProof/>
                <w:color w:val="000000"/>
                <w:lang w:val="sk-SK" w:eastAsia="en-IE"/>
              </w:rPr>
            </w:pPr>
            <w:r>
              <w:rPr>
                <w:rFonts w:ascii="Arial Narrow" w:hAnsi="Arial Narrow" w:cstheme="minorHAnsi"/>
                <w:noProof/>
                <w:color w:val="000000"/>
                <w:lang w:val="sk-SK" w:eastAsia="en-IE"/>
              </w:rPr>
              <w:t xml:space="preserve">Podnik by mal byť započítaný v momente, ako dostanú podporu z prostriedkov Mechanizmu. </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ED4498" w:rsidRPr="008F3BDC" w:rsidRDefault="00ED4498" w:rsidP="00ED4498">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Podnik sa započítava do schémy podpory, aj keď</w:t>
            </w:r>
            <w:r w:rsidR="00E64D33">
              <w:rPr>
                <w:rFonts w:ascii="Arial Narrow" w:hAnsi="Arial Narrow" w:cstheme="minorHAnsi"/>
                <w:noProof/>
                <w:color w:val="000000"/>
                <w:lang w:val="sk-SK" w:eastAsia="en-IE"/>
              </w:rPr>
              <w:t xml:space="preserve"> podpora</w:t>
            </w:r>
            <w:r w:rsidRPr="008F3BDC">
              <w:rPr>
                <w:rFonts w:ascii="Arial Narrow" w:hAnsi="Arial Narrow" w:cstheme="minorHAnsi"/>
                <w:noProof/>
                <w:color w:val="000000"/>
                <w:lang w:val="sk-SK" w:eastAsia="en-IE"/>
              </w:rPr>
              <w:t xml:space="preserve"> trvá niekoľko rokov. Podnik podporovaný v rámci dvoch rôznych schém digitalizácie by sa mal započítať dvakrát – raz za každú schému digitalizácie.</w:t>
            </w:r>
          </w:p>
          <w:p w:rsidR="001E153E" w:rsidRPr="008F3BDC" w:rsidRDefault="00E64D33" w:rsidP="001E153E">
            <w:pPr>
              <w:rPr>
                <w:rFonts w:ascii="Arial Narrow" w:hAnsi="Arial Narrow" w:cstheme="minorHAnsi"/>
                <w:noProof/>
                <w:color w:val="000000"/>
                <w:lang w:val="sk-SK" w:eastAsia="en-IE"/>
              </w:rPr>
            </w:pPr>
            <w:r>
              <w:rPr>
                <w:rFonts w:ascii="Arial Narrow" w:hAnsi="Arial Narrow" w:cstheme="minorHAnsi"/>
                <w:noProof/>
                <w:color w:val="000000"/>
                <w:lang w:val="sk-SK" w:eastAsia="en-IE"/>
              </w:rPr>
              <w:t>T</w:t>
            </w:r>
            <w:r w:rsidR="00ED4498" w:rsidRPr="008F3BDC">
              <w:rPr>
                <w:rFonts w:ascii="Arial Narrow" w:hAnsi="Arial Narrow" w:cstheme="minorHAnsi"/>
                <w:noProof/>
                <w:color w:val="000000"/>
                <w:lang w:val="sk-SK" w:eastAsia="en-IE"/>
              </w:rPr>
              <w:t>ento ukazovateľ je podskupinou ukazovateľa 9 v tom zmysle, že počet uvedený v rámci tohto ukazovateľa by mal byť vždy menší ako počet uvedený v rámci ukazovateľa 9.</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Člení sa podľa:</w:t>
            </w:r>
          </w:p>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 xml:space="preserve"> veľkosť podniku a samostatne:</w:t>
            </w:r>
          </w:p>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i) pre podniky podporované pri vývoji digitálnych technológií a riešení a</w:t>
            </w:r>
          </w:p>
          <w:p w:rsidR="001E153E" w:rsidRPr="008F3BDC" w:rsidRDefault="00E4550C" w:rsidP="00E4550C">
            <w:pPr>
              <w:spacing w:before="120" w:after="120"/>
              <w:jc w:val="both"/>
              <w:rPr>
                <w:rFonts w:ascii="Arial Narrow" w:hAnsi="Arial Narrow" w:cstheme="minorHAnsi"/>
                <w:lang w:val="sk-SK"/>
              </w:rPr>
            </w:pPr>
            <w:r w:rsidRPr="008F3BDC">
              <w:rPr>
                <w:rFonts w:ascii="Arial Narrow" w:hAnsi="Arial Narrow" w:cstheme="minorHAnsi"/>
                <w:lang w:val="sk-SK"/>
              </w:rPr>
              <w:t>ii) pre podniky, ktoré podporujú prijímanie digitálnych riešení na transformáciu svojich služieb, produktov alebo procesov.</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1E153E" w:rsidRPr="008F3BDC" w:rsidRDefault="00E4550C" w:rsidP="001E153E">
            <w:pPr>
              <w:rPr>
                <w:rFonts w:ascii="Arial Narrow" w:hAnsi="Arial Narrow" w:cstheme="minorHAnsi"/>
                <w:lang w:val="sk-SK"/>
              </w:rPr>
            </w:pPr>
            <w:r w:rsidRPr="008F3BDC">
              <w:rPr>
                <w:rFonts w:ascii="Arial Narrow" w:hAnsi="Arial Narrow" w:cstheme="minorHAnsi"/>
                <w:lang w:val="sk-SK"/>
              </w:rPr>
              <w:t>Definície podnikov a ich veľkosť vo všeobecných zásadách tohto usmernenia.</w:t>
            </w:r>
          </w:p>
        </w:tc>
      </w:tr>
      <w:tr w:rsidR="001E153E" w:rsidRPr="008F3BDC" w:rsidTr="001E153E">
        <w:tc>
          <w:tcPr>
            <w:tcW w:w="2028"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1E153E" w:rsidRPr="008F3BDC" w:rsidRDefault="001E153E" w:rsidP="001E153E">
            <w:pPr>
              <w:rPr>
                <w:rFonts w:ascii="Arial Narrow" w:hAnsi="Arial Narrow" w:cstheme="minorHAnsi"/>
                <w:lang w:val="sk-SK"/>
              </w:rPr>
            </w:pPr>
            <w:r w:rsidRPr="008F3BDC">
              <w:rPr>
                <w:rFonts w:ascii="Arial Narrow" w:hAnsi="Arial Narrow" w:cstheme="minorHAnsi"/>
                <w:lang w:val="sk-SK"/>
              </w:rPr>
              <w:t>N</w:t>
            </w:r>
            <w:r w:rsidR="00057239">
              <w:rPr>
                <w:rFonts w:ascii="Arial Narrow" w:hAnsi="Arial Narrow" w:cstheme="minorHAnsi"/>
                <w:lang w:val="sk-SK"/>
              </w:rPr>
              <w:t>/</w:t>
            </w:r>
            <w:r w:rsidRPr="008F3BDC">
              <w:rPr>
                <w:rFonts w:ascii="Arial Narrow" w:hAnsi="Arial Narrow" w:cstheme="minorHAnsi"/>
                <w:lang w:val="sk-SK"/>
              </w:rPr>
              <w:t>A</w:t>
            </w:r>
          </w:p>
        </w:tc>
      </w:tr>
    </w:tbl>
    <w:p w:rsidR="001E153E" w:rsidRPr="008F3BDC" w:rsidRDefault="001E153E" w:rsidP="00757CD8">
      <w:pPr>
        <w:spacing w:after="120"/>
        <w:jc w:val="both"/>
        <w:rPr>
          <w:rFonts w:ascii="Arial Narrow" w:hAnsi="Arial Narrow" w:cstheme="minorHAnsi"/>
          <w:b/>
        </w:rPr>
      </w:pPr>
    </w:p>
    <w:p w:rsidR="00E4550C" w:rsidRPr="008F3BDC" w:rsidRDefault="00E4550C" w:rsidP="00E4550C">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Používatelia nových a modernizovaných verejných digitálnych služieb, produktov a procesov</w:t>
      </w:r>
    </w:p>
    <w:tbl>
      <w:tblPr>
        <w:tblStyle w:val="Mriekatabuky"/>
        <w:tblW w:w="9475" w:type="dxa"/>
        <w:tblLook w:val="04A0" w:firstRow="1" w:lastRow="0" w:firstColumn="1" w:lastColumn="0" w:noHBand="0" w:noVBand="1"/>
      </w:tblPr>
      <w:tblGrid>
        <w:gridCol w:w="2028"/>
        <w:gridCol w:w="7447"/>
      </w:tblGrid>
      <w:tr w:rsidR="00E4550C" w:rsidRPr="008F3BDC" w:rsidTr="0073469E">
        <w:tc>
          <w:tcPr>
            <w:tcW w:w="2028"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RRFCI07</w:t>
            </w:r>
          </w:p>
        </w:tc>
      </w:tr>
      <w:tr w:rsidR="00E4550C" w:rsidRPr="008F3BDC" w:rsidTr="00E4550C">
        <w:tc>
          <w:tcPr>
            <w:tcW w:w="2028"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lastRenderedPageBreak/>
              <w:t>Názov spoločného ukazovateľa</w:t>
            </w:r>
          </w:p>
        </w:tc>
        <w:tc>
          <w:tcPr>
            <w:tcW w:w="7447" w:type="dxa"/>
            <w:shd w:val="clear" w:color="auto" w:fill="BDD6EE" w:themeFill="accent1" w:themeFillTint="66"/>
          </w:tcPr>
          <w:p w:rsidR="00E4550C" w:rsidRPr="008F3BDC" w:rsidRDefault="00E4550C" w:rsidP="00E4550C">
            <w:pPr>
              <w:spacing w:after="120"/>
              <w:jc w:val="both"/>
              <w:rPr>
                <w:rFonts w:ascii="Arial Narrow" w:hAnsi="Arial Narrow" w:cstheme="minorHAnsi"/>
                <w:lang w:val="sk-SK"/>
              </w:rPr>
            </w:pPr>
            <w:r w:rsidRPr="008F3BDC">
              <w:rPr>
                <w:rFonts w:ascii="Arial Narrow" w:hAnsi="Arial Narrow" w:cstheme="minorHAnsi"/>
                <w:b/>
                <w:lang w:val="sk-SK"/>
              </w:rPr>
              <w:t>Používatelia nových a modernizovaných verejných digitálnych služieb, produktov a procesov</w:t>
            </w:r>
          </w:p>
        </w:tc>
      </w:tr>
      <w:tr w:rsidR="00E4550C" w:rsidRPr="008F3BDC" w:rsidTr="0073469E">
        <w:tc>
          <w:tcPr>
            <w:tcW w:w="2028"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používatelia/ rok</w:t>
            </w:r>
          </w:p>
        </w:tc>
      </w:tr>
      <w:tr w:rsidR="00E4550C" w:rsidRPr="008F3BDC" w:rsidTr="0073469E">
        <w:tc>
          <w:tcPr>
            <w:tcW w:w="2028"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E4550C" w:rsidRPr="008F3BDC" w:rsidRDefault="00DE11B8" w:rsidP="00E4550C">
            <w:pPr>
              <w:rPr>
                <w:rFonts w:ascii="Arial Narrow" w:hAnsi="Arial Narrow" w:cstheme="minorHAnsi"/>
                <w:lang w:val="sk-SK"/>
              </w:rPr>
            </w:pPr>
            <w:r w:rsidRPr="008F3BDC">
              <w:rPr>
                <w:rFonts w:ascii="Arial Narrow" w:hAnsi="Arial Narrow" w:cstheme="minorHAnsi"/>
                <w:lang w:val="sk-SK"/>
              </w:rPr>
              <w:t xml:space="preserve">Priebežný - </w:t>
            </w:r>
            <w:r w:rsidR="00CD7E29" w:rsidRPr="008F3BDC">
              <w:rPr>
                <w:rFonts w:ascii="Arial Narrow" w:hAnsi="Arial Narrow" w:cstheme="minorHAnsi"/>
                <w:lang w:val="sk-SK"/>
              </w:rPr>
              <w:t>Vykazovaný priebežne – hodnoty sú reportované len za sledované obdobie</w:t>
            </w:r>
          </w:p>
        </w:tc>
      </w:tr>
      <w:tr w:rsidR="00791A2B" w:rsidRPr="008F3BDC" w:rsidTr="0073469E">
        <w:tc>
          <w:tcPr>
            <w:tcW w:w="2028"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E4550C" w:rsidRPr="008F3BDC" w:rsidTr="0073469E">
        <w:tc>
          <w:tcPr>
            <w:tcW w:w="2028"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E4550C" w:rsidRPr="008F3BDC" w:rsidRDefault="008753CF" w:rsidP="00E4550C">
            <w:pPr>
              <w:rPr>
                <w:rFonts w:ascii="Arial Narrow" w:hAnsi="Arial Narrow" w:cstheme="minorHAnsi"/>
                <w:lang w:val="sk-SK"/>
              </w:rPr>
            </w:pPr>
            <w:r w:rsidRPr="008F3BDC">
              <w:rPr>
                <w:rFonts w:ascii="Arial Narrow" w:hAnsi="Arial Narrow" w:cstheme="minorHAnsi"/>
                <w:lang w:val="sk-SK"/>
              </w:rPr>
              <w:t>Pilier 2 Digitálna transformácia</w:t>
            </w:r>
          </w:p>
          <w:p w:rsidR="00E4550C" w:rsidRPr="008F3BDC" w:rsidRDefault="00463EDD" w:rsidP="00463EDD">
            <w:pPr>
              <w:rPr>
                <w:rFonts w:ascii="Arial Narrow" w:hAnsi="Arial Narrow" w:cstheme="minorHAnsi"/>
                <w:lang w:val="sk-SK"/>
              </w:rPr>
            </w:pPr>
            <w:r w:rsidRPr="008F3BDC">
              <w:rPr>
                <w:rFonts w:ascii="Arial Narrow" w:hAnsi="Arial Narrow" w:cstheme="minorHAnsi"/>
                <w:lang w:val="sk-SK"/>
              </w:rPr>
              <w:t>Pilie</w:t>
            </w:r>
            <w:r w:rsidR="00E4550C" w:rsidRPr="008F3BDC">
              <w:rPr>
                <w:rFonts w:ascii="Arial Narrow" w:hAnsi="Arial Narrow" w:cstheme="minorHAnsi"/>
                <w:lang w:val="sk-SK"/>
              </w:rPr>
              <w:t xml:space="preserve">r 5 </w:t>
            </w:r>
            <w:r w:rsidRPr="008F3BDC">
              <w:rPr>
                <w:rFonts w:ascii="Arial Narrow" w:hAnsi="Arial Narrow" w:cstheme="minorHAnsi"/>
                <w:lang w:val="sk-SK"/>
              </w:rPr>
              <w:t>Zdravie a hospodárska, sociálna a inštitucionálna odolnosť</w:t>
            </w:r>
          </w:p>
        </w:tc>
      </w:tr>
      <w:tr w:rsidR="00E4550C" w:rsidRPr="008F3BDC" w:rsidTr="0073469E">
        <w:tc>
          <w:tcPr>
            <w:tcW w:w="2028" w:type="dxa"/>
            <w:shd w:val="clear" w:color="auto" w:fill="auto"/>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463EDD" w:rsidRPr="008F3BDC" w:rsidRDefault="00463EDD" w:rsidP="00463EDD">
            <w:pPr>
              <w:rPr>
                <w:rFonts w:ascii="Arial Narrow" w:hAnsi="Arial Narrow" w:cstheme="minorHAnsi"/>
                <w:lang w:val="sk-SK"/>
              </w:rPr>
            </w:pPr>
            <w:r w:rsidRPr="008F3BDC">
              <w:rPr>
                <w:rFonts w:ascii="Arial Narrow" w:hAnsi="Arial Narrow" w:cstheme="minorHAnsi"/>
                <w:lang w:val="sk-SK"/>
              </w:rPr>
              <w:t xml:space="preserve">Počet používateľov digitálnych verejných služieb, produktov a procesov novo vyvinutých alebo výrazne modernizovaných prostredníctvom podpory opatrení v rámci </w:t>
            </w:r>
            <w:r w:rsidR="00057239">
              <w:rPr>
                <w:rFonts w:ascii="Arial Narrow" w:hAnsi="Arial Narrow" w:cstheme="minorHAnsi"/>
                <w:lang w:val="sk-SK"/>
              </w:rPr>
              <w:t>Mechanizmu</w:t>
            </w:r>
            <w:r w:rsidRPr="008F3BDC">
              <w:rPr>
                <w:rFonts w:ascii="Arial Narrow" w:hAnsi="Arial Narrow" w:cstheme="minorHAnsi"/>
                <w:lang w:val="sk-SK"/>
              </w:rPr>
              <w:t xml:space="preserve">. Významné inovácie sa budú týkať iba nových </w:t>
            </w:r>
            <w:r w:rsidR="00057239" w:rsidRPr="008F3BDC">
              <w:rPr>
                <w:rFonts w:ascii="Arial Narrow" w:hAnsi="Arial Narrow" w:cstheme="minorHAnsi"/>
                <w:lang w:val="sk-SK"/>
              </w:rPr>
              <w:t>služieb, produktov a procesov</w:t>
            </w:r>
            <w:r w:rsidRPr="008F3BDC">
              <w:rPr>
                <w:rFonts w:ascii="Arial Narrow" w:hAnsi="Arial Narrow" w:cstheme="minorHAnsi"/>
                <w:lang w:val="sk-SK"/>
              </w:rPr>
              <w:t>.</w:t>
            </w:r>
          </w:p>
          <w:p w:rsidR="00E4550C" w:rsidRPr="008F3BDC" w:rsidRDefault="00463EDD" w:rsidP="00463EDD">
            <w:pPr>
              <w:rPr>
                <w:rFonts w:ascii="Arial Narrow" w:hAnsi="Arial Narrow" w:cstheme="minorHAnsi"/>
                <w:lang w:val="sk-SK"/>
              </w:rPr>
            </w:pPr>
            <w:r w:rsidRPr="008F3BDC">
              <w:rPr>
                <w:rFonts w:ascii="Arial Narrow" w:hAnsi="Arial Narrow" w:cstheme="minorHAnsi"/>
                <w:lang w:val="sk-SK"/>
              </w:rPr>
              <w:t>Používateľmi sa rozumejú klienti verejných služieb a používatelia produktov, ktoré boli novo vyvinuté alebo modernizované vďaka podpore pochádzajúcej z opatrení v rámci mechanizmu, a zamestnanci verejnej inštitúcie, ktorí využívajú digitálne procesy, ktoré boli novo vyvinuté alebo významne modernizované vďaka podpore pochádzajúcej z opatrení v rámci mechanizmu.</w:t>
            </w:r>
            <w:r w:rsidR="00E4550C" w:rsidRPr="008F3BDC">
              <w:rPr>
                <w:rFonts w:ascii="Arial Narrow" w:hAnsi="Arial Narrow" w:cstheme="minorHAnsi"/>
                <w:lang w:val="sk-SK"/>
              </w:rPr>
              <w:t xml:space="preserve"> </w:t>
            </w:r>
          </w:p>
        </w:tc>
      </w:tr>
      <w:tr w:rsidR="006C5C05" w:rsidRPr="008F3BDC" w:rsidTr="0073469E">
        <w:tc>
          <w:tcPr>
            <w:tcW w:w="2028" w:type="dxa"/>
          </w:tcPr>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Čas plnenia</w:t>
            </w:r>
          </w:p>
        </w:tc>
        <w:tc>
          <w:tcPr>
            <w:tcW w:w="7447" w:type="dxa"/>
          </w:tcPr>
          <w:p w:rsidR="006C5C05" w:rsidRPr="008F3BDC" w:rsidRDefault="006C5C05" w:rsidP="006C5C05">
            <w:pPr>
              <w:pStyle w:val="PredformtovanHTML"/>
              <w:shd w:val="clear" w:color="auto" w:fill="F8F9FA"/>
              <w:spacing w:line="540" w:lineRule="atLeast"/>
              <w:rPr>
                <w:rFonts w:ascii="Arial Narrow" w:hAnsi="Arial Narrow" w:cstheme="minorHAnsi"/>
                <w:color w:val="202124"/>
                <w:sz w:val="22"/>
                <w:szCs w:val="22"/>
                <w:lang w:val="sk-SK"/>
              </w:rPr>
            </w:pPr>
            <w:r w:rsidRPr="008F3BDC">
              <w:rPr>
                <w:rStyle w:val="y2iqfc"/>
                <w:rFonts w:ascii="Arial Narrow" w:hAnsi="Arial Narrow" w:cstheme="minorHAnsi"/>
                <w:color w:val="202124"/>
                <w:sz w:val="22"/>
                <w:szCs w:val="22"/>
                <w:lang w:val="sk-SK"/>
              </w:rPr>
              <w:t>Pri prvom pripojení k službe (ako je definované vo všeobecných princípoch).</w:t>
            </w:r>
          </w:p>
        </w:tc>
      </w:tr>
      <w:tr w:rsidR="00E4550C" w:rsidRPr="008F3BDC" w:rsidTr="0073469E">
        <w:tc>
          <w:tcPr>
            <w:tcW w:w="2028"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C1274E" w:rsidRPr="008F3BDC" w:rsidRDefault="00C1274E" w:rsidP="00D13EA3">
            <w:pPr>
              <w:rPr>
                <w:rFonts w:ascii="Arial Narrow" w:hAnsi="Arial Narrow" w:cstheme="minorHAnsi"/>
                <w:highlight w:val="yellow"/>
                <w:lang w:val="sk-SK"/>
              </w:rPr>
            </w:pPr>
          </w:p>
          <w:p w:rsidR="00C1274E" w:rsidRPr="008F3BDC" w:rsidRDefault="00C1274E" w:rsidP="00D13EA3">
            <w:pPr>
              <w:rPr>
                <w:rFonts w:ascii="Arial Narrow" w:hAnsi="Arial Narrow" w:cstheme="minorHAnsi"/>
                <w:lang w:val="sk-SK"/>
              </w:rPr>
            </w:pPr>
            <w:r w:rsidRPr="008F3BDC">
              <w:rPr>
                <w:rFonts w:ascii="Arial Narrow" w:hAnsi="Arial Narrow" w:cstheme="minorHAnsi"/>
                <w:lang w:val="sk-SK"/>
              </w:rPr>
              <w:t>Ak sa reportovanie</w:t>
            </w:r>
            <w:r w:rsidR="00D13EA3" w:rsidRPr="008F3BDC">
              <w:rPr>
                <w:rFonts w:ascii="Arial Narrow" w:hAnsi="Arial Narrow" w:cstheme="minorHAnsi"/>
                <w:lang w:val="sk-SK"/>
              </w:rPr>
              <w:t xml:space="preserve"> uskutočňuje viac ako raz ročne, </w:t>
            </w:r>
            <w:r w:rsidRPr="008F3BDC">
              <w:rPr>
                <w:rFonts w:ascii="Arial Narrow" w:hAnsi="Arial Narrow" w:cstheme="minorHAnsi"/>
                <w:lang w:val="sk-SK"/>
              </w:rPr>
              <w:t xml:space="preserve">tak </w:t>
            </w:r>
            <w:r w:rsidR="00057239">
              <w:rPr>
                <w:rFonts w:ascii="Arial Narrow" w:hAnsi="Arial Narrow" w:cstheme="minorHAnsi"/>
                <w:lang w:val="sk-SK"/>
              </w:rPr>
              <w:t xml:space="preserve">je potrebné </w:t>
            </w:r>
            <w:r w:rsidRPr="008F3BDC">
              <w:rPr>
                <w:rFonts w:ascii="Arial Narrow" w:hAnsi="Arial Narrow" w:cstheme="minorHAnsi"/>
                <w:lang w:val="sk-SK"/>
              </w:rPr>
              <w:t xml:space="preserve"> reportovať</w:t>
            </w:r>
            <w:r w:rsidR="00D13EA3" w:rsidRPr="008F3BDC">
              <w:rPr>
                <w:rFonts w:ascii="Arial Narrow" w:hAnsi="Arial Narrow" w:cstheme="minorHAnsi"/>
                <w:lang w:val="sk-SK"/>
              </w:rPr>
              <w:t xml:space="preserve"> počet používateľov </w:t>
            </w:r>
            <w:r w:rsidRPr="008F3BDC">
              <w:rPr>
                <w:rFonts w:ascii="Arial Narrow" w:hAnsi="Arial Narrow" w:cstheme="minorHAnsi"/>
                <w:lang w:val="sk-SK"/>
              </w:rPr>
              <w:t xml:space="preserve">ku </w:t>
            </w:r>
            <w:proofErr w:type="spellStart"/>
            <w:r w:rsidRPr="008F3BDC">
              <w:rPr>
                <w:rFonts w:ascii="Arial Narrow" w:hAnsi="Arial Narrow" w:cstheme="minorHAnsi"/>
                <w:lang w:val="sk-SK"/>
              </w:rPr>
              <w:t>konečnéhu</w:t>
            </w:r>
            <w:proofErr w:type="spellEnd"/>
            <w:r w:rsidRPr="008F3BDC">
              <w:rPr>
                <w:rFonts w:ascii="Arial Narrow" w:hAnsi="Arial Narrow" w:cstheme="minorHAnsi"/>
                <w:lang w:val="sk-SK"/>
              </w:rPr>
              <w:t xml:space="preserve"> dátumu reportovaného obdobia.</w:t>
            </w:r>
            <w:r w:rsidR="00057239">
              <w:rPr>
                <w:rFonts w:ascii="Arial Narrow" w:hAnsi="Arial Narrow" w:cstheme="minorHAnsi"/>
                <w:lang w:val="sk-SK"/>
              </w:rPr>
              <w:t xml:space="preserve"> Ú</w:t>
            </w:r>
            <w:r w:rsidRPr="008F3BDC">
              <w:rPr>
                <w:rFonts w:ascii="Arial Narrow" w:hAnsi="Arial Narrow" w:cstheme="minorHAnsi"/>
                <w:lang w:val="sk-SK"/>
              </w:rPr>
              <w:t xml:space="preserve">daje za </w:t>
            </w:r>
            <w:r w:rsidR="00057239">
              <w:rPr>
                <w:rFonts w:ascii="Arial Narrow" w:hAnsi="Arial Narrow" w:cstheme="minorHAnsi"/>
                <w:lang w:val="sk-SK"/>
              </w:rPr>
              <w:t xml:space="preserve">jeden celý </w:t>
            </w:r>
            <w:r w:rsidRPr="008F3BDC">
              <w:rPr>
                <w:rFonts w:ascii="Arial Narrow" w:hAnsi="Arial Narrow" w:cstheme="minorHAnsi"/>
                <w:lang w:val="sk-SK"/>
              </w:rPr>
              <w:t>rok vypočíta Komisia.</w:t>
            </w:r>
          </w:p>
          <w:p w:rsidR="00D13EA3" w:rsidRPr="008F3BDC" w:rsidRDefault="00D13EA3" w:rsidP="00D13EA3">
            <w:pPr>
              <w:rPr>
                <w:rFonts w:ascii="Arial Narrow" w:hAnsi="Arial Narrow" w:cstheme="minorHAnsi"/>
                <w:lang w:val="sk-SK"/>
              </w:rPr>
            </w:pPr>
            <w:r w:rsidRPr="008F3BDC">
              <w:rPr>
                <w:rFonts w:ascii="Arial Narrow" w:hAnsi="Arial Narrow" w:cstheme="minorHAnsi"/>
                <w:lang w:val="sk-SK"/>
              </w:rPr>
              <w:t>Ak nie je možné identifikovať jednotlivých používateľov, započítanie toho istého klienta, ktorý použil online službu niekoľkokrát, sa nepovažuje za dvojité započítanie.</w:t>
            </w:r>
          </w:p>
          <w:p w:rsidR="00E4550C" w:rsidRPr="008F3BDC" w:rsidRDefault="00D13EA3" w:rsidP="00D13EA3">
            <w:pPr>
              <w:rPr>
                <w:rFonts w:ascii="Arial Narrow" w:hAnsi="Arial Narrow" w:cstheme="minorHAnsi"/>
                <w:highlight w:val="yellow"/>
                <w:lang w:val="sk-SK"/>
              </w:rPr>
            </w:pPr>
            <w:r w:rsidRPr="008F3BDC">
              <w:rPr>
                <w:rFonts w:ascii="Arial Narrow" w:hAnsi="Arial Narrow" w:cstheme="minorHAnsi"/>
                <w:lang w:val="sk-SK"/>
              </w:rPr>
              <w:t>Používatelia novej/inovovanej služby by sa mali počítať počas obdobia implementácie plánu, aby sa zachytilo využiti</w:t>
            </w:r>
            <w:r w:rsidR="00057239">
              <w:rPr>
                <w:rFonts w:ascii="Arial Narrow" w:hAnsi="Arial Narrow" w:cstheme="minorHAnsi"/>
                <w:lang w:val="sk-SK"/>
              </w:rPr>
              <w:t xml:space="preserve">e </w:t>
            </w:r>
            <w:r w:rsidR="00057239" w:rsidRPr="00057239">
              <w:rPr>
                <w:rFonts w:ascii="Arial Narrow" w:hAnsi="Arial Narrow" w:cstheme="minorHAnsi"/>
                <w:lang w:val="sk-SK"/>
              </w:rPr>
              <w:t>modernizovaných verejných digitálnych služieb, produktov a procesov</w:t>
            </w:r>
          </w:p>
        </w:tc>
      </w:tr>
      <w:tr w:rsidR="00E4550C" w:rsidRPr="008F3BDC" w:rsidTr="0073469E">
        <w:tc>
          <w:tcPr>
            <w:tcW w:w="2028"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E4550C" w:rsidRPr="008F3BDC" w:rsidRDefault="00D13EA3" w:rsidP="00E4550C">
            <w:pPr>
              <w:rPr>
                <w:rFonts w:ascii="Arial Narrow" w:hAnsi="Arial Narrow" w:cstheme="minorHAnsi"/>
                <w:lang w:val="sk-SK"/>
              </w:rPr>
            </w:pPr>
            <w:r w:rsidRPr="008F3BDC">
              <w:rPr>
                <w:rFonts w:ascii="Arial Narrow" w:hAnsi="Arial Narrow" w:cstheme="minorHAnsi"/>
                <w:lang w:val="sk-SK"/>
              </w:rPr>
              <w:t>Žiadne</w:t>
            </w:r>
          </w:p>
        </w:tc>
      </w:tr>
      <w:tr w:rsidR="00E4550C" w:rsidRPr="008F3BDC" w:rsidTr="0073469E">
        <w:tc>
          <w:tcPr>
            <w:tcW w:w="2028"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E4550C" w:rsidRPr="008F3BDC" w:rsidRDefault="00E4550C" w:rsidP="00E4550C">
            <w:pPr>
              <w:rPr>
                <w:rFonts w:ascii="Arial Narrow" w:hAnsi="Arial Narrow" w:cstheme="minorHAnsi"/>
                <w:lang w:val="sk-SK"/>
              </w:rPr>
            </w:pPr>
            <w:proofErr w:type="spellStart"/>
            <w:r w:rsidRPr="008F3BDC">
              <w:rPr>
                <w:rFonts w:ascii="Arial Narrow" w:hAnsi="Arial Narrow" w:cstheme="minorHAnsi"/>
                <w:lang w:val="sk-SK"/>
              </w:rPr>
              <w:t>Eurostat</w:t>
            </w:r>
            <w:proofErr w:type="spellEnd"/>
            <w:r w:rsidRPr="008F3BDC">
              <w:rPr>
                <w:rFonts w:ascii="Arial Narrow" w:hAnsi="Arial Narrow" w:cstheme="minorHAnsi"/>
                <w:lang w:val="sk-SK"/>
              </w:rPr>
              <w:t xml:space="preserve">: </w:t>
            </w:r>
            <w:proofErr w:type="spellStart"/>
            <w:r w:rsidRPr="008F3BDC">
              <w:rPr>
                <w:rFonts w:ascii="Arial Narrow" w:hAnsi="Arial Narrow" w:cstheme="minorHAnsi"/>
                <w:lang w:val="sk-SK"/>
              </w:rPr>
              <w:t>isoc</w:t>
            </w:r>
            <w:proofErr w:type="spellEnd"/>
            <w:r w:rsidRPr="008F3BDC">
              <w:rPr>
                <w:rFonts w:ascii="Arial Narrow" w:hAnsi="Arial Narrow" w:cstheme="minorHAnsi"/>
                <w:lang w:val="sk-SK"/>
              </w:rPr>
              <w:t>_ bde15</w:t>
            </w:r>
          </w:p>
        </w:tc>
      </w:tr>
      <w:tr w:rsidR="00E4550C" w:rsidRPr="008F3BDC" w:rsidTr="0073469E">
        <w:tc>
          <w:tcPr>
            <w:tcW w:w="2028" w:type="dxa"/>
          </w:tcPr>
          <w:p w:rsidR="00E4550C" w:rsidRPr="008F3BDC" w:rsidRDefault="00E4550C" w:rsidP="00E4550C">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E4550C" w:rsidRPr="008F3BDC" w:rsidRDefault="00D13EA3" w:rsidP="00E4550C">
            <w:pPr>
              <w:rPr>
                <w:rFonts w:ascii="Arial Narrow" w:hAnsi="Arial Narrow" w:cstheme="minorHAnsi"/>
                <w:lang w:val="sk-SK"/>
              </w:rPr>
            </w:pPr>
            <w:r w:rsidRPr="008F3BDC">
              <w:rPr>
                <w:rFonts w:ascii="Arial Narrow" w:hAnsi="Arial Narrow" w:cstheme="minorHAnsi"/>
                <w:lang w:val="sk-SK"/>
              </w:rPr>
              <w:t>RCR11 Používatelia nových a modernizovaných verejných digitálnych služieb, produktov a procesov</w:t>
            </w:r>
          </w:p>
        </w:tc>
      </w:tr>
    </w:tbl>
    <w:p w:rsidR="00E4550C" w:rsidRPr="008F3BDC" w:rsidRDefault="00E4550C" w:rsidP="00547E6C">
      <w:pPr>
        <w:spacing w:after="120"/>
        <w:jc w:val="both"/>
        <w:rPr>
          <w:rFonts w:ascii="Arial Narrow" w:hAnsi="Arial Narrow" w:cstheme="minorHAnsi"/>
          <w:b/>
        </w:rPr>
      </w:pPr>
    </w:p>
    <w:p w:rsidR="0088645A" w:rsidRPr="008F3BDC" w:rsidRDefault="0088645A" w:rsidP="0088645A">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Výskumní pracovníci pracujúci v podporovaných výskumných zariadeniach</w:t>
      </w:r>
    </w:p>
    <w:tbl>
      <w:tblPr>
        <w:tblStyle w:val="Mriekatabuky"/>
        <w:tblW w:w="9475" w:type="dxa"/>
        <w:tblLook w:val="04A0" w:firstRow="1" w:lastRow="0" w:firstColumn="1" w:lastColumn="0" w:noHBand="0" w:noVBand="1"/>
      </w:tblPr>
      <w:tblGrid>
        <w:gridCol w:w="2028"/>
        <w:gridCol w:w="7447"/>
      </w:tblGrid>
      <w:tr w:rsidR="0088645A" w:rsidRPr="008F3BDC" w:rsidTr="0073469E">
        <w:tc>
          <w:tcPr>
            <w:tcW w:w="2028" w:type="dxa"/>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RRFCI08</w:t>
            </w:r>
          </w:p>
        </w:tc>
      </w:tr>
      <w:tr w:rsidR="0088645A" w:rsidRPr="008F3BDC" w:rsidTr="0088645A">
        <w:tc>
          <w:tcPr>
            <w:tcW w:w="2028"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88645A" w:rsidRPr="008F3BDC" w:rsidRDefault="0088645A" w:rsidP="0088645A">
            <w:pPr>
              <w:spacing w:after="120"/>
              <w:jc w:val="both"/>
              <w:rPr>
                <w:rFonts w:ascii="Arial Narrow" w:hAnsi="Arial Narrow" w:cstheme="minorHAnsi"/>
                <w:lang w:val="sk-SK"/>
              </w:rPr>
            </w:pPr>
            <w:r w:rsidRPr="008F3BDC">
              <w:rPr>
                <w:rFonts w:ascii="Arial Narrow" w:hAnsi="Arial Narrow" w:cstheme="minorHAnsi"/>
                <w:b/>
                <w:lang w:val="sk-SK"/>
              </w:rPr>
              <w:t>Výskumní pracovníci pracujúci v podporovaných výskumných zariadeniach</w:t>
            </w:r>
          </w:p>
        </w:tc>
      </w:tr>
      <w:tr w:rsidR="0088645A" w:rsidRPr="008F3BDC" w:rsidTr="0073469E">
        <w:tc>
          <w:tcPr>
            <w:tcW w:w="2028"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ročný ekvivalent plného pracovného času</w:t>
            </w:r>
          </w:p>
        </w:tc>
      </w:tr>
      <w:tr w:rsidR="0088645A" w:rsidRPr="008F3BDC" w:rsidTr="0073469E">
        <w:tc>
          <w:tcPr>
            <w:tcW w:w="2028"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88645A" w:rsidRPr="008F3BDC" w:rsidRDefault="00DE11B8" w:rsidP="0088645A">
            <w:pPr>
              <w:rPr>
                <w:rFonts w:ascii="Arial Narrow" w:hAnsi="Arial Narrow" w:cstheme="minorHAnsi"/>
                <w:lang w:val="sk-SK"/>
              </w:rPr>
            </w:pPr>
            <w:r w:rsidRPr="008F3BDC">
              <w:rPr>
                <w:rFonts w:ascii="Arial Narrow" w:hAnsi="Arial Narrow" w:cstheme="minorHAnsi"/>
                <w:lang w:val="sk-SK"/>
              </w:rPr>
              <w:t xml:space="preserve">Priebežný - </w:t>
            </w:r>
            <w:r w:rsidR="00CD7E29" w:rsidRPr="008F3BDC">
              <w:rPr>
                <w:rFonts w:ascii="Arial Narrow" w:hAnsi="Arial Narrow" w:cstheme="minorHAnsi"/>
                <w:lang w:val="sk-SK"/>
              </w:rPr>
              <w:t>Vykazovaný priebežne – hodnoty sú reportované len za sledované obdobie</w:t>
            </w:r>
          </w:p>
        </w:tc>
      </w:tr>
      <w:tr w:rsidR="00791A2B" w:rsidRPr="008F3BDC" w:rsidTr="0073469E">
        <w:tc>
          <w:tcPr>
            <w:tcW w:w="2028"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88645A" w:rsidRPr="008F3BDC" w:rsidTr="0073469E">
        <w:tc>
          <w:tcPr>
            <w:tcW w:w="2028"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88645A" w:rsidRPr="008F3BDC" w:rsidRDefault="00FF02C8" w:rsidP="0088645A">
            <w:pPr>
              <w:rPr>
                <w:rFonts w:ascii="Arial Narrow" w:hAnsi="Arial Narrow" w:cstheme="minorHAnsi"/>
                <w:lang w:val="sk-SK"/>
              </w:rPr>
            </w:pPr>
            <w:r w:rsidRPr="008F3BDC">
              <w:rPr>
                <w:rFonts w:ascii="Arial Narrow" w:hAnsi="Arial Narrow" w:cstheme="minorHAnsi"/>
                <w:lang w:val="sk-SK"/>
              </w:rPr>
              <w:t xml:space="preserve">Pilier 3 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tvorby pracovných miest, produktivity, konkurencieschopnosti, výskumu, vývoja a inovácií a dobre fungujúci vnútorný trh podporujúci MSP</w:t>
            </w:r>
          </w:p>
        </w:tc>
      </w:tr>
      <w:tr w:rsidR="0088645A" w:rsidRPr="008F3BDC" w:rsidTr="0073469E">
        <w:tc>
          <w:tcPr>
            <w:tcW w:w="2028" w:type="dxa"/>
            <w:shd w:val="clear" w:color="auto" w:fill="auto"/>
          </w:tcPr>
          <w:p w:rsidR="0088645A" w:rsidRPr="008F3BDC" w:rsidRDefault="0088645A" w:rsidP="0088645A">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4E0FE5" w:rsidRPr="008F3BDC" w:rsidRDefault="004E0FE5" w:rsidP="004E0FE5">
            <w:pPr>
              <w:jc w:val="both"/>
              <w:rPr>
                <w:rFonts w:ascii="Arial Narrow" w:hAnsi="Arial Narrow" w:cstheme="minorHAnsi"/>
                <w:lang w:val="sk-SK"/>
              </w:rPr>
            </w:pPr>
            <w:r w:rsidRPr="008F3BDC">
              <w:rPr>
                <w:rFonts w:ascii="Arial Narrow" w:hAnsi="Arial Narrow" w:cstheme="minorHAnsi"/>
                <w:lang w:val="sk-SK"/>
              </w:rPr>
              <w:t xml:space="preserve">Počet výskumných pracovníkov, ktorí pri svojej činnosti priamo využívajú verejné alebo súkromné výskumné zariadenie alebo vybavenie, na ktoré sa poskytuje podpora z opatrení v rámci </w:t>
            </w:r>
            <w:r w:rsidR="003303FD">
              <w:rPr>
                <w:rFonts w:ascii="Arial Narrow" w:hAnsi="Arial Narrow" w:cstheme="minorHAnsi"/>
                <w:lang w:val="sk-SK"/>
              </w:rPr>
              <w:t>M</w:t>
            </w:r>
            <w:r w:rsidRPr="008F3BDC">
              <w:rPr>
                <w:rFonts w:ascii="Arial Narrow" w:hAnsi="Arial Narrow" w:cstheme="minorHAnsi"/>
                <w:lang w:val="sk-SK"/>
              </w:rPr>
              <w:t xml:space="preserve">echanizmu. </w:t>
            </w:r>
            <w:r w:rsidR="003303FD">
              <w:rPr>
                <w:rFonts w:ascii="Arial Narrow" w:hAnsi="Arial Narrow" w:cstheme="minorHAnsi"/>
                <w:lang w:val="sk-SK"/>
              </w:rPr>
              <w:t>Hodnota u</w:t>
            </w:r>
            <w:r w:rsidRPr="008F3BDC">
              <w:rPr>
                <w:rFonts w:ascii="Arial Narrow" w:hAnsi="Arial Narrow" w:cstheme="minorHAnsi"/>
                <w:lang w:val="sk-SK"/>
              </w:rPr>
              <w:t>kazovateľ</w:t>
            </w:r>
            <w:r w:rsidR="003303FD">
              <w:rPr>
                <w:rFonts w:ascii="Arial Narrow" w:hAnsi="Arial Narrow" w:cstheme="minorHAnsi"/>
                <w:lang w:val="sk-SK"/>
              </w:rPr>
              <w:t>a</w:t>
            </w:r>
            <w:r w:rsidRPr="008F3BDC">
              <w:rPr>
                <w:rFonts w:ascii="Arial Narrow" w:hAnsi="Arial Narrow" w:cstheme="minorHAnsi"/>
                <w:lang w:val="sk-SK"/>
              </w:rPr>
              <w:t xml:space="preserve"> sa meria na základe ročných ekvivalentov </w:t>
            </w:r>
            <w:r w:rsidRPr="008F3BDC">
              <w:rPr>
                <w:rFonts w:ascii="Arial Narrow" w:hAnsi="Arial Narrow" w:cstheme="minorHAnsi"/>
                <w:lang w:val="sk-SK"/>
              </w:rPr>
              <w:lastRenderedPageBreak/>
              <w:t xml:space="preserve">plného pracovného času vypočítaných podľa metodiky uvedenej v príručke OECD </w:t>
            </w:r>
            <w:proofErr w:type="spellStart"/>
            <w:r w:rsidRPr="008F3BDC">
              <w:rPr>
                <w:rFonts w:ascii="Arial Narrow" w:hAnsi="Arial Narrow" w:cstheme="minorHAnsi"/>
                <w:lang w:val="sk-SK"/>
              </w:rPr>
              <w:t>Frascati</w:t>
            </w:r>
            <w:proofErr w:type="spellEnd"/>
            <w:r w:rsidRPr="008F3BDC">
              <w:rPr>
                <w:rFonts w:ascii="Arial Narrow" w:hAnsi="Arial Narrow" w:cstheme="minorHAnsi"/>
                <w:lang w:val="sk-SK"/>
              </w:rPr>
              <w:t xml:space="preserve"> z roku 2015.</w:t>
            </w:r>
          </w:p>
          <w:p w:rsidR="004E0FE5" w:rsidRPr="008F3BDC" w:rsidRDefault="004E0FE5" w:rsidP="004E0FE5">
            <w:pPr>
              <w:jc w:val="both"/>
              <w:rPr>
                <w:rFonts w:ascii="Arial Narrow" w:hAnsi="Arial Narrow" w:cstheme="minorHAnsi"/>
                <w:lang w:val="sk-SK"/>
              </w:rPr>
            </w:pPr>
            <w:r w:rsidRPr="008F3BDC">
              <w:rPr>
                <w:rFonts w:ascii="Arial Narrow" w:hAnsi="Arial Narrow" w:cstheme="minorHAnsi"/>
                <w:lang w:val="sk-SK"/>
              </w:rPr>
              <w:t xml:space="preserve">Podpora musí </w:t>
            </w:r>
            <w:r w:rsidR="003303FD">
              <w:rPr>
                <w:rFonts w:ascii="Arial Narrow" w:hAnsi="Arial Narrow" w:cstheme="minorHAnsi"/>
                <w:lang w:val="sk-SK"/>
              </w:rPr>
              <w:t xml:space="preserve">smerovať k </w:t>
            </w:r>
            <w:r w:rsidRPr="008F3BDC">
              <w:rPr>
                <w:rFonts w:ascii="Arial Narrow" w:hAnsi="Arial Narrow" w:cstheme="minorHAnsi"/>
                <w:lang w:val="sk-SK"/>
              </w:rPr>
              <w:t>zlepšova</w:t>
            </w:r>
            <w:r w:rsidR="003303FD">
              <w:rPr>
                <w:rFonts w:ascii="Arial Narrow" w:hAnsi="Arial Narrow" w:cstheme="minorHAnsi"/>
                <w:lang w:val="sk-SK"/>
              </w:rPr>
              <w:t>niu</w:t>
            </w:r>
            <w:r w:rsidRPr="008F3BDC">
              <w:rPr>
                <w:rFonts w:ascii="Arial Narrow" w:hAnsi="Arial Narrow" w:cstheme="minorHAnsi"/>
                <w:lang w:val="sk-SK"/>
              </w:rPr>
              <w:t xml:space="preserve"> výskumné</w:t>
            </w:r>
            <w:r w:rsidR="003303FD">
              <w:rPr>
                <w:rFonts w:ascii="Arial Narrow" w:hAnsi="Arial Narrow" w:cstheme="minorHAnsi"/>
                <w:lang w:val="sk-SK"/>
              </w:rPr>
              <w:t>ho</w:t>
            </w:r>
            <w:r w:rsidRPr="008F3BDC">
              <w:rPr>
                <w:rFonts w:ascii="Arial Narrow" w:hAnsi="Arial Narrow" w:cstheme="minorHAnsi"/>
                <w:lang w:val="sk-SK"/>
              </w:rPr>
              <w:t xml:space="preserve"> zariadeni</w:t>
            </w:r>
            <w:r w:rsidR="003303FD">
              <w:rPr>
                <w:rFonts w:ascii="Arial Narrow" w:hAnsi="Arial Narrow" w:cstheme="minorHAnsi"/>
                <w:lang w:val="sk-SK"/>
              </w:rPr>
              <w:t>a</w:t>
            </w:r>
            <w:r w:rsidRPr="008F3BDC">
              <w:rPr>
                <w:rFonts w:ascii="Arial Narrow" w:hAnsi="Arial Narrow" w:cstheme="minorHAnsi"/>
                <w:lang w:val="sk-SK"/>
              </w:rPr>
              <w:t xml:space="preserve"> alebo kvalit</w:t>
            </w:r>
            <w:r w:rsidR="003303FD">
              <w:rPr>
                <w:rFonts w:ascii="Arial Narrow" w:hAnsi="Arial Narrow" w:cstheme="minorHAnsi"/>
                <w:lang w:val="sk-SK"/>
              </w:rPr>
              <w:t>y</w:t>
            </w:r>
            <w:r w:rsidRPr="008F3BDC">
              <w:rPr>
                <w:rFonts w:ascii="Arial Narrow" w:hAnsi="Arial Narrow" w:cstheme="minorHAnsi"/>
                <w:lang w:val="sk-SK"/>
              </w:rPr>
              <w:t xml:space="preserve"> výskumného vybavenia. Vylučujú sa náhrady bez zvýšenia kvality, ako aj údržba.</w:t>
            </w:r>
          </w:p>
          <w:p w:rsidR="004E0FE5" w:rsidRPr="008F3BDC" w:rsidRDefault="004E0FE5" w:rsidP="004E0FE5">
            <w:pPr>
              <w:jc w:val="both"/>
              <w:rPr>
                <w:rFonts w:ascii="Arial Narrow" w:hAnsi="Arial Narrow" w:cstheme="minorHAnsi"/>
                <w:lang w:val="sk-SK"/>
              </w:rPr>
            </w:pPr>
            <w:r w:rsidRPr="008F3BDC">
              <w:rPr>
                <w:rFonts w:ascii="Arial Narrow" w:hAnsi="Arial Narrow" w:cstheme="minorHAnsi"/>
                <w:lang w:val="sk-SK"/>
              </w:rPr>
              <w:t xml:space="preserve">Ročný FTE zamestnancov výskumu a vývoja je definovaný ako podiel skutočne strávených pracovných hodín na výskume a vývoji počas kalendárneho roka vydelený celkovým počtom hodín, ktoré jednotlivec alebo skupina obvykle odpracovali v tom istom období. Podľa dohody osoba nemôže pracovať viac než jeden ekvivalent plného pracovného času v oblasti výskumu a vývoja. Počet obvykle odpracovaných hodín sa určuje na základe normatívneho/zákonného pracovného času. </w:t>
            </w:r>
          </w:p>
        </w:tc>
      </w:tr>
      <w:tr w:rsidR="006C5C05" w:rsidRPr="008F3BDC" w:rsidTr="0073469E">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lastRenderedPageBreak/>
              <w:t>Čas plnenia</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Výskumní pracovníci (FTE) sa počítajú od dátumu, kedy zariadenie </w:t>
            </w:r>
            <w:r w:rsidR="003303FD">
              <w:rPr>
                <w:rFonts w:ascii="Arial Narrow" w:hAnsi="Arial Narrow" w:cstheme="minorHAnsi"/>
                <w:lang w:val="sk-SK"/>
              </w:rPr>
              <w:t xml:space="preserve">v ktorom pracujú </w:t>
            </w:r>
            <w:r w:rsidRPr="008F3BDC">
              <w:rPr>
                <w:rFonts w:ascii="Arial Narrow" w:hAnsi="Arial Narrow" w:cstheme="minorHAnsi"/>
                <w:lang w:val="sk-SK"/>
              </w:rPr>
              <w:t>alebo vybavenie</w:t>
            </w:r>
            <w:r w:rsidR="0084032D">
              <w:rPr>
                <w:rFonts w:ascii="Arial Narrow" w:hAnsi="Arial Narrow" w:cstheme="minorHAnsi"/>
                <w:lang w:val="sk-SK"/>
              </w:rPr>
              <w:t xml:space="preserve"> s ktorým pracujú</w:t>
            </w:r>
            <w:r w:rsidRPr="008F3BDC">
              <w:rPr>
                <w:rFonts w:ascii="Arial Narrow" w:hAnsi="Arial Narrow" w:cstheme="minorHAnsi"/>
                <w:lang w:val="sk-SK"/>
              </w:rPr>
              <w:t xml:space="preserve"> dostane podporu v rámci opatrení </w:t>
            </w:r>
            <w:r w:rsidR="0084032D">
              <w:rPr>
                <w:rFonts w:ascii="Arial Narrow" w:hAnsi="Arial Narrow" w:cstheme="minorHAnsi"/>
                <w:lang w:val="sk-SK"/>
              </w:rPr>
              <w:t>M</w:t>
            </w:r>
            <w:r w:rsidRPr="008F3BDC">
              <w:rPr>
                <w:rFonts w:ascii="Arial Narrow" w:hAnsi="Arial Narrow" w:cstheme="minorHAnsi"/>
                <w:lang w:val="sk-SK"/>
              </w:rPr>
              <w:t>echanizmu (ako je definované vo všeobecných zásadách).</w:t>
            </w:r>
          </w:p>
        </w:tc>
      </w:tr>
      <w:tr w:rsidR="0088645A" w:rsidRPr="008F3BDC" w:rsidTr="0073469E">
        <w:tc>
          <w:tcPr>
            <w:tcW w:w="2028" w:type="dxa"/>
          </w:tcPr>
          <w:p w:rsidR="0088645A" w:rsidRPr="008F3BDC" w:rsidRDefault="00C8119D" w:rsidP="0088645A">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9A183B" w:rsidRPr="008F3BDC" w:rsidRDefault="009A183B" w:rsidP="009B06DC">
            <w:pPr>
              <w:jc w:val="both"/>
              <w:rPr>
                <w:rFonts w:ascii="Arial Narrow" w:hAnsi="Arial Narrow" w:cstheme="minorHAnsi"/>
                <w:lang w:val="sk-SK"/>
              </w:rPr>
            </w:pPr>
            <w:r w:rsidRPr="008F3BDC">
              <w:rPr>
                <w:rFonts w:ascii="Arial Narrow" w:hAnsi="Arial Narrow" w:cstheme="minorHAnsi"/>
                <w:lang w:val="sk-SK"/>
              </w:rPr>
              <w:t>Voľné pozície vo výskume a vývoji sa nezapočítavajú, ani podporný personál pre výskum a vývoj (t. j. miesta, ktoré nie sú priamo zapojené do aktivít výskumu a vývoja).</w:t>
            </w:r>
          </w:p>
          <w:p w:rsidR="009A183B" w:rsidRPr="008F3BDC" w:rsidRDefault="0084032D" w:rsidP="009B06DC">
            <w:pPr>
              <w:jc w:val="both"/>
              <w:rPr>
                <w:rFonts w:ascii="Arial Narrow" w:hAnsi="Arial Narrow" w:cstheme="minorHAnsi"/>
                <w:lang w:val="sk-SK"/>
              </w:rPr>
            </w:pPr>
            <w:r>
              <w:rPr>
                <w:rFonts w:ascii="Arial Narrow" w:hAnsi="Arial Narrow" w:cstheme="minorHAnsi"/>
                <w:lang w:val="sk-SK"/>
              </w:rPr>
              <w:t>O</w:t>
            </w:r>
            <w:r w:rsidR="009A183B" w:rsidRPr="008F3BDC">
              <w:rPr>
                <w:rFonts w:ascii="Arial Narrow" w:hAnsi="Arial Narrow" w:cstheme="minorHAnsi"/>
                <w:lang w:val="sk-SK"/>
              </w:rPr>
              <w:t>soba nemôže pracovať viac než jeden ekvivalent plného pracovného času v oblasti výskumu a vývoja. Počet obvykle odpracovaných hodín sa určuje na základe normatívneho/zákonného pracovného času. Jeden výskumný príspevok (FTE) sa môže započítať iba raz za vykazované obdobie. Výskumný pracovník (FTE), ktorý zastáva pozíciu s viacročnou zmluvou, by sa mal započítať raz za vykazované obdobie.</w:t>
            </w:r>
          </w:p>
        </w:tc>
      </w:tr>
      <w:tr w:rsidR="00C8119D" w:rsidRPr="008F3BDC" w:rsidTr="0073469E">
        <w:tc>
          <w:tcPr>
            <w:tcW w:w="2028"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Ukazovateľ sa rozčleňuje podľa pohlavia</w:t>
            </w:r>
          </w:p>
        </w:tc>
      </w:tr>
      <w:tr w:rsidR="00C8119D" w:rsidRPr="008F3BDC" w:rsidTr="0073469E">
        <w:tc>
          <w:tcPr>
            <w:tcW w:w="2028"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 xml:space="preserve">Príručka OECD </w:t>
            </w:r>
            <w:proofErr w:type="spellStart"/>
            <w:r w:rsidRPr="008F3BDC">
              <w:rPr>
                <w:rFonts w:ascii="Arial Narrow" w:hAnsi="Arial Narrow" w:cstheme="minorHAnsi"/>
                <w:lang w:val="sk-SK"/>
              </w:rPr>
              <w:t>Frascati</w:t>
            </w:r>
            <w:proofErr w:type="spellEnd"/>
            <w:r w:rsidRPr="008F3BDC">
              <w:rPr>
                <w:rFonts w:ascii="Arial Narrow" w:hAnsi="Arial Narrow" w:cstheme="minorHAnsi"/>
                <w:lang w:val="sk-SK"/>
              </w:rPr>
              <w:t xml:space="preserve"> z roku 2015 na výpočet ročného ekvivalentu plného pracovného času</w:t>
            </w:r>
          </w:p>
        </w:tc>
      </w:tr>
      <w:tr w:rsidR="00C8119D" w:rsidRPr="008F3BDC" w:rsidTr="0073469E">
        <w:tc>
          <w:tcPr>
            <w:tcW w:w="2028"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RCO06 Výskumníci pracujúci v podporovaných výskumných zariadeniach</w:t>
            </w:r>
          </w:p>
        </w:tc>
      </w:tr>
    </w:tbl>
    <w:p w:rsidR="0088645A" w:rsidRPr="008F3BDC" w:rsidRDefault="0088645A" w:rsidP="00547E6C">
      <w:pPr>
        <w:spacing w:after="120"/>
        <w:jc w:val="both"/>
        <w:rPr>
          <w:rFonts w:ascii="Arial Narrow" w:hAnsi="Arial Narrow" w:cstheme="minorHAnsi"/>
          <w:b/>
        </w:rPr>
      </w:pPr>
    </w:p>
    <w:p w:rsidR="00DF20B5" w:rsidRPr="008F3BDC" w:rsidRDefault="005A7322" w:rsidP="005A7322">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 xml:space="preserve">Podporované podniky (z toho malé podniky – vrátane </w:t>
      </w:r>
      <w:proofErr w:type="spellStart"/>
      <w:r w:rsidRPr="008F3BDC">
        <w:rPr>
          <w:rFonts w:ascii="Arial Narrow" w:hAnsi="Arial Narrow" w:cstheme="minorHAnsi"/>
          <w:b/>
        </w:rPr>
        <w:t>mikropodnikov</w:t>
      </w:r>
      <w:proofErr w:type="spellEnd"/>
      <w:r w:rsidRPr="008F3BDC">
        <w:rPr>
          <w:rFonts w:ascii="Arial Narrow" w:hAnsi="Arial Narrow" w:cstheme="minorHAnsi"/>
          <w:b/>
        </w:rPr>
        <w:t>, stredné a veľké podniky)</w:t>
      </w:r>
    </w:p>
    <w:tbl>
      <w:tblPr>
        <w:tblStyle w:val="Mriekatabuky"/>
        <w:tblW w:w="9475" w:type="dxa"/>
        <w:tblLook w:val="04A0" w:firstRow="1" w:lastRow="0" w:firstColumn="1" w:lastColumn="0" w:noHBand="0" w:noVBand="1"/>
      </w:tblPr>
      <w:tblGrid>
        <w:gridCol w:w="2028"/>
        <w:gridCol w:w="7447"/>
      </w:tblGrid>
      <w:tr w:rsidR="00F823F4" w:rsidRPr="008F3BDC" w:rsidTr="0073469E">
        <w:tc>
          <w:tcPr>
            <w:tcW w:w="2028" w:type="dxa"/>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RRFCI09</w:t>
            </w:r>
          </w:p>
        </w:tc>
      </w:tr>
      <w:tr w:rsidR="00F823F4" w:rsidRPr="008F3BDC" w:rsidTr="00F823F4">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F823F4" w:rsidRPr="008F3BDC" w:rsidRDefault="00F823F4" w:rsidP="00F823F4">
            <w:pPr>
              <w:rPr>
                <w:rFonts w:ascii="Arial Narrow" w:hAnsi="Arial Narrow" w:cstheme="minorHAnsi"/>
                <w:lang w:val="sk-SK"/>
              </w:rPr>
            </w:pPr>
            <w:r w:rsidRPr="008F3BDC">
              <w:rPr>
                <w:rFonts w:ascii="Arial Narrow" w:hAnsi="Arial Narrow" w:cstheme="minorHAnsi"/>
                <w:b/>
                <w:lang w:val="sk-SK"/>
              </w:rPr>
              <w:t xml:space="preserve">Podporované podniky (z toho malé podniky – vrátane </w:t>
            </w:r>
            <w:proofErr w:type="spellStart"/>
            <w:r w:rsidRPr="008F3BDC">
              <w:rPr>
                <w:rFonts w:ascii="Arial Narrow" w:hAnsi="Arial Narrow" w:cstheme="minorHAnsi"/>
                <w:b/>
                <w:lang w:val="sk-SK"/>
              </w:rPr>
              <w:t>mikropodnikov</w:t>
            </w:r>
            <w:proofErr w:type="spellEnd"/>
            <w:r w:rsidRPr="008F3BDC">
              <w:rPr>
                <w:rFonts w:ascii="Arial Narrow" w:hAnsi="Arial Narrow" w:cstheme="minorHAnsi"/>
                <w:b/>
                <w:lang w:val="sk-SK"/>
              </w:rPr>
              <w:t>, stredné a veľké podniky)</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podniky</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F823F4" w:rsidRPr="008F3BDC" w:rsidRDefault="00CD7E29" w:rsidP="00F823F4">
            <w:pPr>
              <w:rPr>
                <w:rFonts w:ascii="Arial Narrow" w:hAnsi="Arial Narrow" w:cstheme="minorHAnsi"/>
                <w:highlight w:val="yellow"/>
                <w:lang w:val="sk-SK"/>
              </w:rPr>
            </w:pPr>
            <w:r w:rsidRPr="008F3BDC">
              <w:rPr>
                <w:rFonts w:ascii="Arial Narrow" w:hAnsi="Arial Narrow" w:cstheme="minorHAnsi"/>
                <w:lang w:val="sk-SK"/>
              </w:rPr>
              <w:t>Vykazovaný priebežne – hodnoty sú reportované len za sledované obdobie</w:t>
            </w:r>
          </w:p>
        </w:tc>
      </w:tr>
      <w:tr w:rsidR="00791A2B" w:rsidRPr="008F3BDC" w:rsidTr="0073469E">
        <w:tc>
          <w:tcPr>
            <w:tcW w:w="2028"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F823F4" w:rsidRPr="008F3BDC" w:rsidRDefault="00CE4D05" w:rsidP="00F823F4">
            <w:pPr>
              <w:rPr>
                <w:rFonts w:ascii="Arial Narrow" w:hAnsi="Arial Narrow" w:cstheme="minorHAnsi"/>
                <w:lang w:val="sk-SK"/>
              </w:rPr>
            </w:pPr>
            <w:r w:rsidRPr="008F3BDC">
              <w:rPr>
                <w:rFonts w:ascii="Arial Narrow" w:hAnsi="Arial Narrow" w:cstheme="minorHAnsi"/>
                <w:lang w:val="sk-SK"/>
              </w:rPr>
              <w:t xml:space="preserve">Pilier 3 Inteligentný, udržateľný a </w:t>
            </w:r>
            <w:proofErr w:type="spellStart"/>
            <w:r w:rsidRPr="008F3BDC">
              <w:rPr>
                <w:rFonts w:ascii="Arial Narrow" w:hAnsi="Arial Narrow" w:cstheme="minorHAnsi"/>
                <w:lang w:val="sk-SK"/>
              </w:rPr>
              <w:t>inkluzívny</w:t>
            </w:r>
            <w:proofErr w:type="spellEnd"/>
            <w:r w:rsidRPr="008F3BDC">
              <w:rPr>
                <w:rFonts w:ascii="Arial Narrow" w:hAnsi="Arial Narrow" w:cstheme="minorHAnsi"/>
                <w:lang w:val="sk-SK"/>
              </w:rPr>
              <w:t xml:space="preserve"> rast, vrátane hospodárskej súdržnosti, tvorby pracovných miest, produktivity, konkurencieschopnosti, výskumu, vývoja a inovácií a dobre fungujúci vnútorný trh podporujúci MSP</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F823F4" w:rsidRPr="008F3BDC" w:rsidRDefault="005177E2" w:rsidP="00F823F4">
            <w:pPr>
              <w:rPr>
                <w:rFonts w:ascii="Arial Narrow" w:hAnsi="Arial Narrow" w:cstheme="minorHAnsi"/>
                <w:lang w:val="sk-SK"/>
              </w:rPr>
            </w:pPr>
            <w:r w:rsidRPr="008F3BDC">
              <w:rPr>
                <w:rFonts w:ascii="Arial Narrow" w:hAnsi="Arial Narrow" w:cstheme="minorHAnsi"/>
                <w:lang w:val="sk-SK"/>
              </w:rPr>
              <w:t>Ukazovateľ zahŕňa všetky podniky, ktoré dostávajú peňažnú alebo materiálnu podporu pochádzajúcu z opatrení v rámci mechanizmu.</w:t>
            </w:r>
          </w:p>
        </w:tc>
      </w:tr>
      <w:tr w:rsidR="006C5C05" w:rsidRPr="008F3BDC" w:rsidTr="0073469E">
        <w:tc>
          <w:tcPr>
            <w:tcW w:w="2028"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Čas plnenia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Podniky sa započítajú ku dňu, keď dostanú podporu pochádzajúcu z opatrení v rámci mechanizmu.</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44182B" w:rsidRPr="008F3BDC" w:rsidRDefault="0044182B" w:rsidP="005F7F0E">
            <w:pPr>
              <w:jc w:val="both"/>
              <w:rPr>
                <w:rFonts w:ascii="Arial Narrow" w:hAnsi="Arial Narrow" w:cstheme="minorHAnsi"/>
                <w:lang w:val="sk-SK"/>
              </w:rPr>
            </w:pPr>
          </w:p>
          <w:p w:rsidR="005177E2" w:rsidRPr="008F3BDC" w:rsidRDefault="005177E2" w:rsidP="005F7F0E">
            <w:pPr>
              <w:jc w:val="both"/>
              <w:rPr>
                <w:rFonts w:ascii="Arial Narrow" w:hAnsi="Arial Narrow" w:cstheme="minorHAnsi"/>
                <w:lang w:val="sk-SK"/>
              </w:rPr>
            </w:pPr>
            <w:r w:rsidRPr="008F3BDC">
              <w:rPr>
                <w:rFonts w:ascii="Arial Narrow" w:hAnsi="Arial Narrow" w:cstheme="minorHAnsi"/>
                <w:lang w:val="sk-SK"/>
              </w:rPr>
              <w:t>Podnik sa započítava do podpo</w:t>
            </w:r>
            <w:r w:rsidR="00584B77" w:rsidRPr="008F3BDC">
              <w:rPr>
                <w:rFonts w:ascii="Arial Narrow" w:hAnsi="Arial Narrow" w:cstheme="minorHAnsi"/>
                <w:lang w:val="sk-SK"/>
              </w:rPr>
              <w:t>rnej schémy</w:t>
            </w:r>
            <w:r w:rsidRPr="008F3BDC">
              <w:rPr>
                <w:rFonts w:ascii="Arial Narrow" w:hAnsi="Arial Narrow" w:cstheme="minorHAnsi"/>
                <w:lang w:val="sk-SK"/>
              </w:rPr>
              <w:t xml:space="preserve">, aj keď trvá </w:t>
            </w:r>
            <w:r w:rsidR="00584B77" w:rsidRPr="008F3BDC">
              <w:rPr>
                <w:rFonts w:ascii="Arial Narrow" w:hAnsi="Arial Narrow" w:cstheme="minorHAnsi"/>
                <w:lang w:val="sk-SK"/>
              </w:rPr>
              <w:t xml:space="preserve">tá </w:t>
            </w:r>
            <w:r w:rsidRPr="008F3BDC">
              <w:rPr>
                <w:rFonts w:ascii="Arial Narrow" w:hAnsi="Arial Narrow" w:cstheme="minorHAnsi"/>
                <w:lang w:val="sk-SK"/>
              </w:rPr>
              <w:t>niekoľko rokov. Podnik podporovaný dvoma rôznymi schémami podpory by sa mal započítať dvakrát – raz za</w:t>
            </w:r>
            <w:r w:rsidR="00584B77" w:rsidRPr="008F3BDC">
              <w:rPr>
                <w:rFonts w:ascii="Arial Narrow" w:hAnsi="Arial Narrow" w:cstheme="minorHAnsi"/>
                <w:lang w:val="sk-SK"/>
              </w:rPr>
              <w:t xml:space="preserve"> každú schému podpory.</w:t>
            </w:r>
          </w:p>
          <w:p w:rsidR="00F823F4" w:rsidRPr="008F3BDC" w:rsidRDefault="00584B77" w:rsidP="005F7F0E">
            <w:pPr>
              <w:jc w:val="both"/>
              <w:rPr>
                <w:rFonts w:ascii="Arial Narrow" w:hAnsi="Arial Narrow" w:cstheme="minorHAnsi"/>
                <w:lang w:val="sk-SK"/>
              </w:rPr>
            </w:pPr>
            <w:r w:rsidRPr="008F3BDC">
              <w:rPr>
                <w:rFonts w:ascii="Arial Narrow" w:hAnsi="Arial Narrow" w:cstheme="minorHAnsi"/>
                <w:lang w:val="sk-SK"/>
              </w:rPr>
              <w:t>T</w:t>
            </w:r>
            <w:r w:rsidR="005177E2" w:rsidRPr="008F3BDC">
              <w:rPr>
                <w:rFonts w:ascii="Arial Narrow" w:hAnsi="Arial Narrow" w:cstheme="minorHAnsi"/>
                <w:lang w:val="sk-SK"/>
              </w:rPr>
              <w:t>ento ukazovateľ</w:t>
            </w:r>
            <w:r w:rsidR="0044182B" w:rsidRPr="008F3BDC">
              <w:rPr>
                <w:rFonts w:ascii="Arial Narrow" w:hAnsi="Arial Narrow" w:cstheme="minorHAnsi"/>
                <w:lang w:val="sk-SK"/>
              </w:rPr>
              <w:t xml:space="preserve"> </w:t>
            </w:r>
            <w:r w:rsidRPr="008F3BDC">
              <w:rPr>
                <w:rFonts w:ascii="Arial Narrow" w:hAnsi="Arial Narrow" w:cstheme="minorHAnsi"/>
                <w:lang w:val="sk-SK"/>
              </w:rPr>
              <w:t xml:space="preserve">zahŕňa aj </w:t>
            </w:r>
            <w:r w:rsidR="005F7F0E" w:rsidRPr="008F3BDC">
              <w:rPr>
                <w:rFonts w:ascii="Arial Narrow" w:hAnsi="Arial Narrow" w:cstheme="minorHAnsi"/>
                <w:lang w:val="sk-SK"/>
              </w:rPr>
              <w:t>ukazovateľ</w:t>
            </w:r>
            <w:r w:rsidR="005177E2" w:rsidRPr="008F3BDC">
              <w:rPr>
                <w:rFonts w:ascii="Arial Narrow" w:hAnsi="Arial Narrow" w:cstheme="minorHAnsi"/>
                <w:lang w:val="sk-SK"/>
              </w:rPr>
              <w:t xml:space="preserve"> 6. </w:t>
            </w:r>
            <w:r w:rsidR="005F7F0E" w:rsidRPr="008F3BDC">
              <w:rPr>
                <w:rFonts w:ascii="Arial Narrow" w:hAnsi="Arial Narrow" w:cstheme="minorHAnsi"/>
                <w:lang w:val="sk-SK"/>
              </w:rPr>
              <w:t>Hodnota</w:t>
            </w:r>
            <w:r w:rsidR="005177E2" w:rsidRPr="008F3BDC">
              <w:rPr>
                <w:rFonts w:ascii="Arial Narrow" w:hAnsi="Arial Narrow" w:cstheme="minorHAnsi"/>
                <w:lang w:val="sk-SK"/>
              </w:rPr>
              <w:t xml:space="preserve"> vy</w:t>
            </w:r>
            <w:r w:rsidR="005F7F0E" w:rsidRPr="008F3BDC">
              <w:rPr>
                <w:rFonts w:ascii="Arial Narrow" w:hAnsi="Arial Narrow" w:cstheme="minorHAnsi"/>
                <w:lang w:val="sk-SK"/>
              </w:rPr>
              <w:t>kázaná v ukazovateli</w:t>
            </w:r>
            <w:r w:rsidR="005177E2" w:rsidRPr="008F3BDC">
              <w:rPr>
                <w:rFonts w:ascii="Arial Narrow" w:hAnsi="Arial Narrow" w:cstheme="minorHAnsi"/>
                <w:lang w:val="sk-SK"/>
              </w:rPr>
              <w:t xml:space="preserve"> pod číslom 6 by mal vždy prevyšovať </w:t>
            </w:r>
            <w:r w:rsidR="005F7F0E" w:rsidRPr="008F3BDC">
              <w:rPr>
                <w:rFonts w:ascii="Arial Narrow" w:hAnsi="Arial Narrow" w:cstheme="minorHAnsi"/>
                <w:lang w:val="sk-SK"/>
              </w:rPr>
              <w:t>hodnotu</w:t>
            </w:r>
            <w:r w:rsidR="005177E2" w:rsidRPr="008F3BDC">
              <w:rPr>
                <w:rFonts w:ascii="Arial Narrow" w:hAnsi="Arial Narrow" w:cstheme="minorHAnsi"/>
                <w:lang w:val="sk-SK"/>
              </w:rPr>
              <w:t xml:space="preserve"> vykazovaný </w:t>
            </w:r>
            <w:r w:rsidR="005F7F0E" w:rsidRPr="008F3BDC">
              <w:rPr>
                <w:rFonts w:ascii="Arial Narrow" w:hAnsi="Arial Narrow" w:cstheme="minorHAnsi"/>
                <w:lang w:val="sk-SK"/>
              </w:rPr>
              <w:t xml:space="preserve">pri ukazovateli </w:t>
            </w:r>
            <w:r w:rsidR="005177E2" w:rsidRPr="008F3BDC">
              <w:rPr>
                <w:rFonts w:ascii="Arial Narrow" w:hAnsi="Arial Narrow" w:cstheme="minorHAnsi"/>
                <w:lang w:val="sk-SK"/>
              </w:rPr>
              <w:t>pod číslom 6.</w:t>
            </w:r>
          </w:p>
          <w:p w:rsidR="0044182B" w:rsidRPr="008F3BDC" w:rsidRDefault="0044182B" w:rsidP="005F7F0E">
            <w:pPr>
              <w:jc w:val="both"/>
              <w:rPr>
                <w:rFonts w:ascii="Arial Narrow" w:hAnsi="Arial Narrow" w:cstheme="minorHAnsi"/>
                <w:lang w:val="sk-SK"/>
              </w:rPr>
            </w:pPr>
            <w:r w:rsidRPr="008F3BDC">
              <w:rPr>
                <w:rFonts w:ascii="Arial Narrow" w:hAnsi="Arial Narrow" w:cstheme="minorHAnsi"/>
                <w:lang w:val="sk-SK"/>
              </w:rPr>
              <w:t xml:space="preserve">Podnik sa vymedzuje ako </w:t>
            </w:r>
            <w:r w:rsidR="0084032D">
              <w:rPr>
                <w:rFonts w:ascii="Arial Narrow" w:hAnsi="Arial Narrow" w:cstheme="minorHAnsi"/>
                <w:lang w:val="sk-SK"/>
              </w:rPr>
              <w:t>právna entita</w:t>
            </w:r>
            <w:r w:rsidRPr="008F3BDC">
              <w:rPr>
                <w:rFonts w:ascii="Arial Narrow" w:hAnsi="Arial Narrow" w:cstheme="minorHAnsi"/>
                <w:lang w:val="sk-SK"/>
              </w:rPr>
              <w:t xml:space="preserve">, ktorá tvorí organizačnú jednotku vyrábajúcu výrobky alebo poskytujúcu služby, ktorá má určitý stupeň rozhodovacej samostatnosti, najmä v otázke používania svojich bežných zdrojov, a ktorá vykonáva jednu alebo viacej </w:t>
            </w:r>
            <w:r w:rsidRPr="008F3BDC">
              <w:rPr>
                <w:rFonts w:ascii="Arial Narrow" w:hAnsi="Arial Narrow" w:cstheme="minorHAnsi"/>
                <w:lang w:val="sk-SK"/>
              </w:rPr>
              <w:lastRenderedPageBreak/>
              <w:t xml:space="preserve">činností na jednom alebo viacerých miestach. Podnik môže byť sám jedinou právnou jednotkou. </w:t>
            </w:r>
            <w:r w:rsidR="000673EC">
              <w:rPr>
                <w:rFonts w:ascii="Arial Narrow" w:hAnsi="Arial Narrow" w:cstheme="minorHAnsi"/>
                <w:lang w:val="sk-SK"/>
              </w:rPr>
              <w:t>Podniky</w:t>
            </w:r>
            <w:r w:rsidRPr="008F3BDC">
              <w:rPr>
                <w:rFonts w:ascii="Arial Narrow" w:hAnsi="Arial Narrow" w:cstheme="minorHAnsi"/>
                <w:lang w:val="sk-SK"/>
              </w:rPr>
              <w:t xml:space="preserve"> </w:t>
            </w:r>
            <w:r w:rsidR="000673EC">
              <w:rPr>
                <w:rFonts w:ascii="Arial Narrow" w:hAnsi="Arial Narrow" w:cstheme="minorHAnsi"/>
                <w:lang w:val="sk-SK"/>
              </w:rPr>
              <w:t xml:space="preserve">sú </w:t>
            </w:r>
            <w:r w:rsidRPr="008F3BDC">
              <w:rPr>
                <w:rFonts w:ascii="Arial Narrow" w:hAnsi="Arial Narrow" w:cstheme="minorHAnsi"/>
                <w:lang w:val="sk-SK"/>
              </w:rPr>
              <w:t xml:space="preserve"> právnick</w:t>
            </w:r>
            <w:r w:rsidR="000673EC">
              <w:rPr>
                <w:rFonts w:ascii="Arial Narrow" w:hAnsi="Arial Narrow" w:cstheme="minorHAnsi"/>
                <w:lang w:val="sk-SK"/>
              </w:rPr>
              <w:t xml:space="preserve">ými </w:t>
            </w:r>
            <w:r w:rsidRPr="008F3BDC">
              <w:rPr>
                <w:rFonts w:ascii="Arial Narrow" w:hAnsi="Arial Narrow" w:cstheme="minorHAnsi"/>
                <w:lang w:val="sk-SK"/>
              </w:rPr>
              <w:t>oso</w:t>
            </w:r>
            <w:r w:rsidR="000673EC">
              <w:rPr>
                <w:rFonts w:ascii="Arial Narrow" w:hAnsi="Arial Narrow" w:cstheme="minorHAnsi"/>
                <w:lang w:val="sk-SK"/>
              </w:rPr>
              <w:t>bami</w:t>
            </w:r>
            <w:r w:rsidRPr="008F3BDC">
              <w:rPr>
                <w:rFonts w:ascii="Arial Narrow" w:hAnsi="Arial Narrow" w:cstheme="minorHAnsi"/>
                <w:lang w:val="sk-SK"/>
              </w:rPr>
              <w:t xml:space="preserve">, ktoré majú právnu subjektivitu bez ohľadu na to, ktoré osoby alebo inštitúcie (ako sú verejné obchodné spoločnosti, spoločnosti s ručením obmedzeným, registrované spoločnosti atď.) ich vlastnia alebo sú ich členmi. </w:t>
            </w:r>
            <w:r w:rsidR="000673EC">
              <w:rPr>
                <w:rFonts w:ascii="Arial Narrow" w:hAnsi="Arial Narrow" w:cstheme="minorHAnsi"/>
                <w:lang w:val="sk-SK"/>
              </w:rPr>
              <w:t xml:space="preserve">Podniky </w:t>
            </w:r>
            <w:r w:rsidRPr="008F3BDC">
              <w:rPr>
                <w:rFonts w:ascii="Arial Narrow" w:hAnsi="Arial Narrow" w:cstheme="minorHAnsi"/>
                <w:lang w:val="sk-SK"/>
              </w:rPr>
              <w:t>zahŕňajú aj fyzické osoby, ktoré vykonávajú hospodársku činnosť na vlastný účet, ako je napríklad vlastník a prevádzkovateľ obchodu alebo garáže, advokát alebo samostatne zárobkovo činný remeselník [Komisia (</w:t>
            </w:r>
            <w:proofErr w:type="spellStart"/>
            <w:r w:rsidRPr="008F3BDC">
              <w:rPr>
                <w:rFonts w:ascii="Arial Narrow" w:hAnsi="Arial Narrow" w:cstheme="minorHAnsi"/>
                <w:lang w:val="sk-SK"/>
              </w:rPr>
              <w:t>Eurostat</w:t>
            </w:r>
            <w:proofErr w:type="spellEnd"/>
            <w:r w:rsidRPr="008F3BDC">
              <w:rPr>
                <w:rFonts w:ascii="Arial Narrow" w:hAnsi="Arial Narrow" w:cstheme="minorHAnsi"/>
                <w:lang w:val="sk-SK"/>
              </w:rPr>
              <w:t>), podľa nariadenia Rady (EHS) č. 696/93, oddiel III bod A z 15. 3. 1993].</w:t>
            </w:r>
          </w:p>
          <w:p w:rsidR="0044182B" w:rsidRPr="008F3BDC" w:rsidRDefault="0044182B" w:rsidP="005F7F0E">
            <w:pPr>
              <w:jc w:val="both"/>
              <w:rPr>
                <w:rFonts w:ascii="Arial Narrow" w:hAnsi="Arial Narrow" w:cstheme="minorHAnsi"/>
                <w:lang w:val="sk-SK"/>
              </w:rPr>
            </w:pPr>
            <w:r w:rsidRPr="008F3BDC">
              <w:rPr>
                <w:rFonts w:ascii="Arial Narrow" w:hAnsi="Arial Narrow" w:cstheme="minorHAnsi"/>
                <w:lang w:val="sk-SK"/>
              </w:rPr>
              <w:t>Ukazovateľ sa zbiera a vykazuje podľa veľkosti podniku. Na účely tohto ukazovateľa sa podniky vymedzujú ako ziskové organizácie, ktoré vyrábajú tovar a poskytujú služby na uspokojenie potrieb trhu.</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lastRenderedPageBreak/>
              <w:t>Metodika pre stanovenie cieľovej hodnoty</w:t>
            </w:r>
          </w:p>
        </w:tc>
        <w:tc>
          <w:tcPr>
            <w:tcW w:w="7447" w:type="dxa"/>
            <w:shd w:val="clear" w:color="auto" w:fill="auto"/>
          </w:tcPr>
          <w:p w:rsidR="00F823F4" w:rsidRPr="008F3BDC" w:rsidRDefault="00241BEB" w:rsidP="00F823F4">
            <w:pPr>
              <w:rPr>
                <w:rFonts w:ascii="Arial Narrow" w:hAnsi="Arial Narrow" w:cstheme="minorHAnsi"/>
                <w:lang w:val="sk-SK"/>
              </w:rPr>
            </w:pPr>
            <w:r w:rsidRPr="008F3BDC">
              <w:rPr>
                <w:rFonts w:ascii="Arial Narrow" w:hAnsi="Arial Narrow" w:cstheme="minorHAnsi"/>
                <w:lang w:val="sk-SK"/>
              </w:rPr>
              <w:t>Rozčlení sa podľa veľkosti podniku.</w:t>
            </w:r>
          </w:p>
        </w:tc>
      </w:tr>
      <w:tr w:rsidR="00F823F4" w:rsidRPr="008F3BDC" w:rsidTr="0073469E">
        <w:tc>
          <w:tcPr>
            <w:tcW w:w="2028" w:type="dxa"/>
            <w:shd w:val="clear" w:color="auto" w:fill="auto"/>
          </w:tcPr>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Členenie údajov</w:t>
            </w:r>
          </w:p>
        </w:tc>
        <w:tc>
          <w:tcPr>
            <w:tcW w:w="7447" w:type="dxa"/>
            <w:shd w:val="clear" w:color="auto" w:fill="auto"/>
          </w:tcPr>
          <w:p w:rsidR="00241BEB" w:rsidRPr="008F3BDC" w:rsidRDefault="00241BEB" w:rsidP="00F823F4">
            <w:pPr>
              <w:rPr>
                <w:rFonts w:ascii="Arial Narrow" w:hAnsi="Arial Narrow" w:cstheme="minorHAnsi"/>
                <w:lang w:val="sk-SK"/>
              </w:rPr>
            </w:pPr>
            <w:r w:rsidRPr="008F3BDC">
              <w:rPr>
                <w:rFonts w:ascii="Arial Narrow" w:hAnsi="Arial Narrow" w:cstheme="minorHAnsi"/>
                <w:lang w:val="sk-SK"/>
              </w:rPr>
              <w:t>Podľa veľkosti podnikov:</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Klasifikácia podnikov:</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 xml:space="preserve">malé podniky vrátane </w:t>
            </w:r>
            <w:proofErr w:type="spellStart"/>
            <w:r w:rsidRPr="008F3BDC">
              <w:rPr>
                <w:rFonts w:ascii="Arial Narrow" w:hAnsi="Arial Narrow" w:cstheme="minorHAnsi"/>
                <w:lang w:val="sk-SK"/>
              </w:rPr>
              <w:t>mikropodnikov</w:t>
            </w:r>
            <w:proofErr w:type="spellEnd"/>
            <w:r w:rsidRPr="008F3BDC">
              <w:rPr>
                <w:rFonts w:ascii="Arial Narrow" w:hAnsi="Arial Narrow" w:cstheme="minorHAnsi"/>
                <w:lang w:val="sk-SK"/>
              </w:rPr>
              <w:t xml:space="preserve"> (0 – 49 zamestnancov a samostatne zárobkovo činných osôb a ročný obrat vo výške ≤ 10 miliónov EUR alebo súvaha vo výške ≤ 10 miliónov EUR);</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stredné podniky (50 – 249 zamestnancov a samostatne zárobkovo činných osôb a ročný obrat vo výške &gt; 10 miliónov EUR až ≤ 50 miliónov EUR alebo súvaha vo výške &gt; 10 miliónov EUR až ≤ 43 miliónov EUR);</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veľké podniky (&gt; 250 zamestnancov a samostatne zárobkovo činných osôb a obrat vo výške &gt; 50 miliónov EUR alebo súvaha vo výške &gt; 43 miliónov EUR).</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Ak sa prekročí niektorá z uvedených dvoch prahových hodnôt (zamestnanci/samostatne zárobkovo činné osoby a ročný obrat/súvaha), podniky sa zaradia do vyššej veľkostnej kategórie.</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[Komisia (</w:t>
            </w:r>
            <w:proofErr w:type="spellStart"/>
            <w:r w:rsidRPr="008F3BDC">
              <w:rPr>
                <w:rFonts w:ascii="Arial Narrow" w:hAnsi="Arial Narrow" w:cstheme="minorHAnsi"/>
                <w:lang w:val="sk-SK"/>
              </w:rPr>
              <w:t>Eurostat</w:t>
            </w:r>
            <w:proofErr w:type="spellEnd"/>
            <w:r w:rsidRPr="008F3BDC">
              <w:rPr>
                <w:rFonts w:ascii="Arial Narrow" w:hAnsi="Arial Narrow" w:cstheme="minorHAnsi"/>
                <w:lang w:val="sk-SK"/>
              </w:rPr>
              <w:t>), na základe odporúčania Komisie 2003/361/ES(9), príloha, články 2 – 3].</w:t>
            </w:r>
          </w:p>
          <w:p w:rsidR="00241BEB" w:rsidRPr="008F3BDC" w:rsidRDefault="00241BEB" w:rsidP="00241BEB">
            <w:pPr>
              <w:rPr>
                <w:rFonts w:ascii="Arial Narrow" w:hAnsi="Arial Narrow" w:cstheme="minorHAnsi"/>
                <w:lang w:val="sk-SK"/>
              </w:rPr>
            </w:pPr>
            <w:r w:rsidRPr="008F3BDC">
              <w:rPr>
                <w:rFonts w:ascii="Arial Narrow" w:hAnsi="Arial Narrow" w:cstheme="minorHAnsi"/>
                <w:lang w:val="sk-SK"/>
              </w:rPr>
              <w:t>Veľkosť podporovaného podniku sa určuje na začiatku poskytovania podpory.</w:t>
            </w:r>
          </w:p>
          <w:p w:rsidR="00F823F4" w:rsidRPr="008F3BDC" w:rsidRDefault="00F823F4" w:rsidP="00F823F4">
            <w:pPr>
              <w:rPr>
                <w:rFonts w:ascii="Arial Narrow" w:hAnsi="Arial Narrow" w:cstheme="minorHAnsi"/>
                <w:lang w:val="sk-SK"/>
              </w:rPr>
            </w:pPr>
            <w:r w:rsidRPr="008F3BDC">
              <w:rPr>
                <w:rFonts w:ascii="Arial Narrow" w:hAnsi="Arial Narrow" w:cstheme="minorHAnsi"/>
                <w:lang w:val="sk-SK"/>
              </w:rPr>
              <w:t>.</w:t>
            </w:r>
          </w:p>
        </w:tc>
      </w:tr>
      <w:tr w:rsidR="00C8119D" w:rsidRPr="008F3BDC" w:rsidTr="0073469E">
        <w:tc>
          <w:tcPr>
            <w:tcW w:w="2028" w:type="dxa"/>
            <w:shd w:val="clear" w:color="auto" w:fill="auto"/>
          </w:tcPr>
          <w:p w:rsidR="00C8119D" w:rsidRPr="008F3BDC" w:rsidRDefault="00C8119D" w:rsidP="00F823F4">
            <w:pPr>
              <w:rPr>
                <w:rFonts w:ascii="Arial Narrow" w:hAnsi="Arial Narrow" w:cstheme="minorHAnsi"/>
                <w:lang w:val="sk-SK"/>
              </w:rPr>
            </w:pPr>
            <w:r w:rsidRPr="008F3BDC">
              <w:rPr>
                <w:rFonts w:ascii="Arial Narrow" w:hAnsi="Arial Narrow" w:cstheme="minorHAnsi"/>
                <w:lang w:val="sk-SK"/>
              </w:rPr>
              <w:t>Referencie</w:t>
            </w:r>
          </w:p>
        </w:tc>
        <w:tc>
          <w:tcPr>
            <w:tcW w:w="7447" w:type="dxa"/>
            <w:shd w:val="clear" w:color="auto" w:fill="auto"/>
          </w:tcPr>
          <w:p w:rsidR="00C8119D" w:rsidRPr="008F3BDC" w:rsidRDefault="00C8119D" w:rsidP="00F823F4">
            <w:pPr>
              <w:rPr>
                <w:rFonts w:ascii="Arial Narrow" w:hAnsi="Arial Narrow" w:cstheme="minorHAnsi"/>
                <w:lang w:val="sk-SK"/>
              </w:rPr>
            </w:pPr>
          </w:p>
        </w:tc>
      </w:tr>
      <w:tr w:rsidR="00C8119D" w:rsidRPr="008F3BDC" w:rsidTr="0073469E">
        <w:tc>
          <w:tcPr>
            <w:tcW w:w="2028" w:type="dxa"/>
            <w:shd w:val="clear" w:color="auto" w:fill="auto"/>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shd w:val="clear" w:color="auto" w:fill="auto"/>
          </w:tcPr>
          <w:p w:rsidR="00C8119D" w:rsidRPr="008F3BDC" w:rsidRDefault="00C8119D" w:rsidP="00C8119D">
            <w:pPr>
              <w:rPr>
                <w:rFonts w:ascii="Arial Narrow" w:hAnsi="Arial Narrow" w:cstheme="minorHAnsi"/>
                <w:lang w:val="sk-SK"/>
              </w:rPr>
            </w:pPr>
            <w:r w:rsidRPr="008F3BDC">
              <w:rPr>
                <w:rFonts w:ascii="Arial Narrow" w:hAnsi="Arial Narrow" w:cstheme="minorHAnsi"/>
                <w:lang w:val="sk-SK"/>
              </w:rPr>
              <w:t xml:space="preserve">RCO01 Podporované podniky (z toho: </w:t>
            </w:r>
            <w:proofErr w:type="spellStart"/>
            <w:r w:rsidRPr="008F3BDC">
              <w:rPr>
                <w:rFonts w:ascii="Arial Narrow" w:hAnsi="Arial Narrow" w:cstheme="minorHAnsi"/>
                <w:lang w:val="sk-SK"/>
              </w:rPr>
              <w:t>mikro</w:t>
            </w:r>
            <w:proofErr w:type="spellEnd"/>
            <w:r w:rsidRPr="008F3BDC">
              <w:rPr>
                <w:rFonts w:ascii="Arial Narrow" w:hAnsi="Arial Narrow" w:cstheme="minorHAnsi"/>
                <w:lang w:val="sk-SK"/>
              </w:rPr>
              <w:t>, malé, stredné, veľké)</w:t>
            </w:r>
          </w:p>
        </w:tc>
      </w:tr>
    </w:tbl>
    <w:p w:rsidR="00DF20B5" w:rsidRPr="008F3BDC" w:rsidRDefault="00DF20B5" w:rsidP="00547E6C">
      <w:pPr>
        <w:spacing w:after="120"/>
        <w:jc w:val="both"/>
        <w:rPr>
          <w:rFonts w:ascii="Arial Narrow" w:hAnsi="Arial Narrow" w:cstheme="minorHAnsi"/>
          <w:b/>
        </w:rPr>
      </w:pPr>
    </w:p>
    <w:p w:rsidR="0073469E" w:rsidRPr="008F3BDC" w:rsidRDefault="0073469E" w:rsidP="0073469E">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Počet účastníkov v procese vzdelávania alebo odbornej prípravy</w:t>
      </w:r>
    </w:p>
    <w:tbl>
      <w:tblPr>
        <w:tblStyle w:val="Mriekatabuky"/>
        <w:tblW w:w="9622" w:type="dxa"/>
        <w:tblInd w:w="-147" w:type="dxa"/>
        <w:tblLook w:val="04A0" w:firstRow="1" w:lastRow="0" w:firstColumn="1" w:lastColumn="0" w:noHBand="0" w:noVBand="1"/>
      </w:tblPr>
      <w:tblGrid>
        <w:gridCol w:w="2175"/>
        <w:gridCol w:w="7447"/>
      </w:tblGrid>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857918" w:rsidRPr="008F3BDC" w:rsidRDefault="00857918" w:rsidP="00857918">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RRFCI10</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857918" w:rsidRPr="008F3BDC" w:rsidRDefault="00857918" w:rsidP="00857918">
            <w:pPr>
              <w:rPr>
                <w:rFonts w:ascii="Arial Narrow" w:hAnsi="Arial Narrow" w:cstheme="minorHAnsi"/>
                <w:b/>
                <w:lang w:val="sk-SK"/>
              </w:rPr>
            </w:pPr>
            <w:r w:rsidRPr="008F3BDC">
              <w:rPr>
                <w:rFonts w:ascii="Arial Narrow" w:hAnsi="Arial Narrow" w:cstheme="minorHAnsi"/>
                <w:b/>
                <w:lang w:val="sk-SK"/>
              </w:rPr>
              <w:t>Počet účastníkov vzdelávania alebo školenia</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Osoby</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857918" w:rsidRPr="008F3BDC" w:rsidRDefault="003F0D80" w:rsidP="00857918">
            <w:pPr>
              <w:rPr>
                <w:rFonts w:ascii="Arial Narrow" w:hAnsi="Arial Narrow" w:cstheme="minorHAnsi"/>
                <w:lang w:val="sk-SK"/>
              </w:rPr>
            </w:pPr>
            <w:r w:rsidRPr="008F3BDC">
              <w:rPr>
                <w:rFonts w:ascii="Arial Narrow" w:hAnsi="Arial Narrow" w:cstheme="minorHAnsi"/>
                <w:lang w:val="sk-SK"/>
              </w:rPr>
              <w:t xml:space="preserve">Priebežný - </w:t>
            </w:r>
            <w:r w:rsidR="00CD7E29" w:rsidRPr="008F3BDC">
              <w:rPr>
                <w:rFonts w:ascii="Arial Narrow" w:hAnsi="Arial Narrow" w:cstheme="minorHAnsi"/>
                <w:lang w:val="sk-SK"/>
              </w:rPr>
              <w:t>Vykazovaný priebežne – hodnoty sú reportované len za sledované obdobie</w:t>
            </w:r>
          </w:p>
        </w:tc>
      </w:tr>
      <w:tr w:rsidR="00791A2B" w:rsidRPr="008F3BDC" w:rsidTr="006C5C05">
        <w:tc>
          <w:tcPr>
            <w:tcW w:w="2175" w:type="dxa"/>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Pilier 2 Digitálna transformácia</w:t>
            </w:r>
          </w:p>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 xml:space="preserve">Pilier 4 </w:t>
            </w:r>
            <w:proofErr w:type="spellStart"/>
            <w:r w:rsidRPr="008F3BDC">
              <w:rPr>
                <w:rFonts w:ascii="Arial Narrow" w:hAnsi="Arial Narrow" w:cstheme="minorHAnsi"/>
                <w:lang w:val="sk-SK"/>
              </w:rPr>
              <w:t>Socialna</w:t>
            </w:r>
            <w:proofErr w:type="spellEnd"/>
            <w:r w:rsidRPr="008F3BDC">
              <w:rPr>
                <w:rFonts w:ascii="Arial Narrow" w:hAnsi="Arial Narrow" w:cstheme="minorHAnsi"/>
                <w:lang w:val="sk-SK"/>
              </w:rPr>
              <w:t xml:space="preserve"> a územná súdržnosť </w:t>
            </w:r>
          </w:p>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Pilier 6 Politiky pre budúcu generáciu</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 xml:space="preserve">Ukazovateľ zohľadňuje počet novoprijatých účastníkov vzdelávania a odbornej prípravy (odborná príprava mimo pracoviska/na pracovisku, ďalšie odborné vzdelávanie a príprava atď.) podporovaných </w:t>
            </w:r>
            <w:r w:rsidR="00B331E5">
              <w:rPr>
                <w:rFonts w:ascii="Arial Narrow" w:hAnsi="Arial Narrow" w:cstheme="minorHAnsi"/>
                <w:lang w:val="sk-SK"/>
              </w:rPr>
              <w:t xml:space="preserve">prostredníctvom </w:t>
            </w:r>
            <w:r w:rsidRPr="008F3BDC">
              <w:rPr>
                <w:rFonts w:ascii="Arial Narrow" w:hAnsi="Arial Narrow" w:cstheme="minorHAnsi"/>
                <w:lang w:val="sk-SK"/>
              </w:rPr>
              <w:t>opatren</w:t>
            </w:r>
            <w:r w:rsidR="00B331E5">
              <w:rPr>
                <w:rFonts w:ascii="Arial Narrow" w:hAnsi="Arial Narrow" w:cstheme="minorHAnsi"/>
                <w:lang w:val="sk-SK"/>
              </w:rPr>
              <w:t>í</w:t>
            </w:r>
            <w:r w:rsidRPr="008F3BDC">
              <w:rPr>
                <w:rFonts w:ascii="Arial Narrow" w:hAnsi="Arial Narrow" w:cstheme="minorHAnsi"/>
                <w:lang w:val="sk-SK"/>
              </w:rPr>
              <w:t xml:space="preserve"> v rámci </w:t>
            </w:r>
            <w:r w:rsidR="00B331E5">
              <w:rPr>
                <w:rFonts w:ascii="Arial Narrow" w:hAnsi="Arial Narrow" w:cstheme="minorHAnsi"/>
                <w:lang w:val="sk-SK"/>
              </w:rPr>
              <w:t>M</w:t>
            </w:r>
            <w:r w:rsidRPr="008F3BDC">
              <w:rPr>
                <w:rFonts w:ascii="Arial Narrow" w:hAnsi="Arial Narrow" w:cstheme="minorHAnsi"/>
                <w:lang w:val="sk-SK"/>
              </w:rPr>
              <w:t>echanizmu, vrátane účastníkov odbornej prípravy v oblasti digitálnych zručností. Údaje sa zbierajú a vykazujú za:</w:t>
            </w:r>
          </w:p>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 xml:space="preserve"> i) účastníkov v procese vzdelávania alebo odbornej prípravy a </w:t>
            </w:r>
          </w:p>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lastRenderedPageBreak/>
              <w:t xml:space="preserve">ii)  účastníkov odbornej prípravy v oblasti digitálnych zručností. </w:t>
            </w:r>
          </w:p>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Takisto sa rozčleňuje podľa pohlavia a veku (0 – 17, 18 – 29, 30 – 54, 55 a viac).</w:t>
            </w:r>
          </w:p>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 xml:space="preserve"> </w:t>
            </w:r>
          </w:p>
          <w:p w:rsidR="00A85BBA"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 xml:space="preserve">„Novoprijatí“ znamená, že v prípade vzdelávacieho alebo školiaceho programu, ktorý už existoval a bol vylepšený z podpory POO, budú započítaní len účastníci, ktorí sa pripoja po podpore POO. </w:t>
            </w:r>
          </w:p>
          <w:p w:rsidR="006F02B7" w:rsidRPr="008F3BDC" w:rsidRDefault="00A85BBA" w:rsidP="00A85BBA">
            <w:pPr>
              <w:jc w:val="both"/>
              <w:rPr>
                <w:rFonts w:ascii="Arial Narrow" w:hAnsi="Arial Narrow" w:cstheme="minorHAnsi"/>
                <w:lang w:val="sk-SK"/>
              </w:rPr>
            </w:pPr>
            <w:r w:rsidRPr="008F3BDC">
              <w:rPr>
                <w:rFonts w:ascii="Arial Narrow" w:hAnsi="Arial Narrow" w:cstheme="minorHAnsi"/>
                <w:lang w:val="sk-SK"/>
              </w:rPr>
              <w:t xml:space="preserve">V </w:t>
            </w:r>
            <w:r w:rsidR="0021616F" w:rsidRPr="008F3BDC">
              <w:rPr>
                <w:rFonts w:ascii="Arial Narrow" w:hAnsi="Arial Narrow" w:cstheme="minorHAnsi"/>
                <w:lang w:val="sk-SK"/>
              </w:rPr>
              <w:t>súlade s prílohou VII k nariadeniu o Mechanizme na podporu obnovy a odolnosti, sa odborná príprava v oblasti digitálnych zručností má chápať v zmysle oblasti intervencie 108 (Podpora rozvoja digitálnych zručností), v ktorej sa uvádza: „Týka sa digitálnych zručností na všetkých úrovniach a zahŕňa: vysoko špecializované vzdelávacie programy na odbornú prípravu špecialistov v oblasti digitálnych technológií (teda programy zamerané na technológie), odbornú prípravu učiteľov, vývoj digitálneho obsahu na vzdelávacie účely a príslušné organizačné schopnosti. Patria sem aj opatrenia a programy zamerané na zlepšenie základných digitálnych zručností.“</w:t>
            </w:r>
          </w:p>
        </w:tc>
      </w:tr>
      <w:tr w:rsidR="006C5C05" w:rsidRPr="008F3BDC" w:rsidTr="006C5C05">
        <w:tc>
          <w:tcPr>
            <w:tcW w:w="2175"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lastRenderedPageBreak/>
              <w:t>Čas plnenia</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Účastníci sa počítajú pri vstupe do vzdelávacej činnosti alebo činnosti odbornej prípravy.</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857918" w:rsidRPr="008F3BDC" w:rsidRDefault="00D465A7" w:rsidP="00857918">
            <w:pPr>
              <w:rPr>
                <w:rFonts w:ascii="Arial Narrow" w:hAnsi="Arial Narrow" w:cstheme="minorHAnsi"/>
                <w:noProof/>
                <w:color w:val="000000"/>
                <w:lang w:val="sk-SK" w:eastAsia="en-IE"/>
              </w:rPr>
            </w:pPr>
            <w:r w:rsidRPr="008F3BDC">
              <w:rPr>
                <w:rFonts w:ascii="Arial Narrow" w:hAnsi="Arial Narrow" w:cstheme="minorHAnsi"/>
                <w:noProof/>
                <w:color w:val="000000"/>
                <w:lang w:val="sk-SK" w:eastAsia="en-IE"/>
              </w:rPr>
              <w:t>Účasť sa počíta na vzdelávaciu alebo školiacu aktivitu, aj keď trvá niekoľko rokov. Účastník dvoch rôznych vzdelávacích alebo škol</w:t>
            </w:r>
            <w:r w:rsidR="00791A2B" w:rsidRPr="008F3BDC">
              <w:rPr>
                <w:rFonts w:ascii="Arial Narrow" w:hAnsi="Arial Narrow" w:cstheme="minorHAnsi"/>
                <w:noProof/>
                <w:color w:val="000000"/>
                <w:lang w:val="sk-SK" w:eastAsia="en-IE"/>
              </w:rPr>
              <w:t>iacich aktivít by mal byť</w:t>
            </w:r>
            <w:r w:rsidRPr="008F3BDC">
              <w:rPr>
                <w:rFonts w:ascii="Arial Narrow" w:hAnsi="Arial Narrow" w:cstheme="minorHAnsi"/>
                <w:noProof/>
                <w:color w:val="000000"/>
                <w:lang w:val="sk-SK" w:eastAsia="en-IE"/>
              </w:rPr>
              <w:t xml:space="preserve"> započítaný dvakrát – raz za</w:t>
            </w:r>
            <w:r w:rsidR="005F7F0E" w:rsidRPr="008F3BDC">
              <w:rPr>
                <w:rFonts w:ascii="Arial Narrow" w:hAnsi="Arial Narrow" w:cstheme="minorHAnsi"/>
                <w:noProof/>
                <w:color w:val="000000"/>
                <w:lang w:val="sk-SK" w:eastAsia="en-IE"/>
              </w:rPr>
              <w:t xml:space="preserve"> každé</w:t>
            </w:r>
            <w:r w:rsidRPr="008F3BDC">
              <w:rPr>
                <w:rFonts w:ascii="Arial Narrow" w:hAnsi="Arial Narrow" w:cstheme="minorHAnsi"/>
                <w:noProof/>
                <w:color w:val="000000"/>
                <w:lang w:val="sk-SK" w:eastAsia="en-IE"/>
              </w:rPr>
              <w:t xml:space="preserve"> školenie alebo vzd</w:t>
            </w:r>
            <w:r w:rsidR="00791A2B" w:rsidRPr="008F3BDC">
              <w:rPr>
                <w:rFonts w:ascii="Arial Narrow" w:hAnsi="Arial Narrow" w:cstheme="minorHAnsi"/>
                <w:noProof/>
                <w:color w:val="000000"/>
                <w:lang w:val="sk-SK" w:eastAsia="en-IE"/>
              </w:rPr>
              <w:t>elávaciu aktivitu.</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Člení sa podľa:</w:t>
            </w:r>
          </w:p>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i) účastníci vzdelávania alebo školenia</w:t>
            </w:r>
          </w:p>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a. pohlavie</w:t>
            </w:r>
          </w:p>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b. vek</w:t>
            </w:r>
          </w:p>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ii) v rámci bodu (i) sa účastníci školenia v oblasti digitálnych zručností uvádzajú samostatne</w:t>
            </w:r>
          </w:p>
          <w:p w:rsidR="00D465A7" w:rsidRPr="008F3BDC" w:rsidRDefault="00D465A7" w:rsidP="00D465A7">
            <w:pPr>
              <w:rPr>
                <w:rFonts w:ascii="Arial Narrow" w:hAnsi="Arial Narrow" w:cstheme="minorHAnsi"/>
                <w:lang w:val="sk-SK"/>
              </w:rPr>
            </w:pPr>
            <w:r w:rsidRPr="008F3BDC">
              <w:rPr>
                <w:rFonts w:ascii="Arial Narrow" w:hAnsi="Arial Narrow" w:cstheme="minorHAnsi"/>
                <w:lang w:val="sk-SK"/>
              </w:rPr>
              <w:t>a. pohlavie</w:t>
            </w:r>
          </w:p>
          <w:p w:rsidR="00857918" w:rsidRPr="008F3BDC" w:rsidRDefault="00D465A7" w:rsidP="00BD4630">
            <w:pPr>
              <w:rPr>
                <w:rFonts w:ascii="Arial Narrow" w:hAnsi="Arial Narrow" w:cstheme="minorHAnsi"/>
                <w:lang w:val="sk-SK"/>
              </w:rPr>
            </w:pPr>
            <w:r w:rsidRPr="008F3BDC">
              <w:rPr>
                <w:rFonts w:ascii="Arial Narrow" w:hAnsi="Arial Narrow" w:cstheme="minorHAnsi"/>
                <w:lang w:val="sk-SK"/>
              </w:rPr>
              <w:t>b. vek</w:t>
            </w:r>
            <w:r w:rsidR="00857918" w:rsidRPr="008F3BDC">
              <w:rPr>
                <w:rFonts w:ascii="Arial Narrow" w:hAnsi="Arial Narrow" w:cstheme="minorHAnsi"/>
                <w:lang w:val="sk-SK"/>
              </w:rPr>
              <w:t xml:space="preserve"> </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ISCED je referenčná medzinárodná klasifikácia pre organizovanie vzdelávacích programov a súvisiacich kvalifikácií podľa úrovní a oblastí. ISCED 2011 (úrovne vzdelávania) sa implementuje do všetkých zberov údajov EÚ od roku 2014. ISCED 2011 má deväť úrovní vzdelávania, od úrovne 0 po úroveň 8 (podrobnejšie je terciárne vzdelávanie):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xml:space="preserve">• ISCED 0: </w:t>
            </w:r>
            <w:proofErr w:type="spellStart"/>
            <w:r w:rsidR="003765B3" w:rsidRPr="008F3BDC">
              <w:rPr>
                <w:rFonts w:ascii="Arial Narrow" w:hAnsi="Arial Narrow" w:cstheme="minorHAnsi"/>
                <w:sz w:val="22"/>
                <w:szCs w:val="22"/>
                <w:lang w:val="sk-SK"/>
              </w:rPr>
              <w:t>Predprimárne</w:t>
            </w:r>
            <w:proofErr w:type="spellEnd"/>
            <w:r w:rsidR="003765B3" w:rsidRPr="008F3BDC">
              <w:rPr>
                <w:rFonts w:ascii="Arial Narrow" w:hAnsi="Arial Narrow" w:cstheme="minorHAnsi"/>
                <w:sz w:val="22"/>
                <w:szCs w:val="22"/>
                <w:lang w:val="sk-SK"/>
              </w:rPr>
              <w:t xml:space="preserve"> vzdelanie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1: Primárne vzdelávanie</w:t>
            </w:r>
          </w:p>
          <w:p w:rsidR="00044104" w:rsidRPr="008F3BDC" w:rsidRDefault="003765B3"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2: Nižšie stredné odborné</w:t>
            </w:r>
            <w:r w:rsidR="00044104" w:rsidRPr="008F3BDC">
              <w:rPr>
                <w:rFonts w:ascii="Arial Narrow" w:hAnsi="Arial Narrow" w:cstheme="minorHAnsi"/>
                <w:sz w:val="22"/>
                <w:szCs w:val="22"/>
                <w:lang w:val="sk-SK"/>
              </w:rPr>
              <w:t xml:space="preserve"> vzdelávanie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3: Vyššie stredoškolské vzdelávanie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w:t>
            </w:r>
            <w:r w:rsidR="003765B3" w:rsidRPr="008F3BDC">
              <w:rPr>
                <w:rFonts w:ascii="Arial Narrow" w:hAnsi="Arial Narrow" w:cstheme="minorHAnsi"/>
                <w:sz w:val="22"/>
                <w:szCs w:val="22"/>
                <w:lang w:val="sk-SK"/>
              </w:rPr>
              <w:t xml:space="preserve">ED 4: </w:t>
            </w:r>
            <w:proofErr w:type="spellStart"/>
            <w:r w:rsidR="003765B3" w:rsidRPr="008F3BDC">
              <w:rPr>
                <w:rFonts w:ascii="Arial Narrow" w:hAnsi="Arial Narrow" w:cstheme="minorHAnsi"/>
                <w:sz w:val="22"/>
                <w:szCs w:val="22"/>
                <w:lang w:val="sk-SK"/>
              </w:rPr>
              <w:t>Postsekundárne</w:t>
            </w:r>
            <w:proofErr w:type="spellEnd"/>
            <w:r w:rsidRPr="008F3BDC">
              <w:rPr>
                <w:rFonts w:ascii="Arial Narrow" w:hAnsi="Arial Narrow" w:cstheme="minorHAnsi"/>
                <w:sz w:val="22"/>
                <w:szCs w:val="22"/>
                <w:lang w:val="sk-SK"/>
              </w:rPr>
              <w:t xml:space="preserve"> vzdelávanie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5: Krátkodobé terciárne vzdelávanie</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6: Bakalárska alebo ekvivalentná úroveň</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ISCED 7: Magisterská alebo ekvivalentná úroveň</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 xml:space="preserve">• ISCED 8: Doktorandské alebo úrovňové osoby v odbornej príprave zodpovedajú klasifikácii vzdelávacích aktivít </w:t>
            </w:r>
            <w:proofErr w:type="spellStart"/>
            <w:r w:rsidRPr="008F3BDC">
              <w:rPr>
                <w:rFonts w:ascii="Arial Narrow" w:hAnsi="Arial Narrow" w:cstheme="minorHAnsi"/>
                <w:sz w:val="22"/>
                <w:szCs w:val="22"/>
                <w:lang w:val="sk-SK"/>
              </w:rPr>
              <w:t>Eurostatu</w:t>
            </w:r>
            <w:proofErr w:type="spellEnd"/>
            <w:r w:rsidRPr="008F3BDC">
              <w:rPr>
                <w:rFonts w:ascii="Arial Narrow" w:hAnsi="Arial Narrow" w:cstheme="minorHAnsi"/>
                <w:sz w:val="22"/>
                <w:szCs w:val="22"/>
                <w:lang w:val="sk-SK"/>
              </w:rPr>
              <w:t>, ako je to v Manuáli o klasifikácii vz</w:t>
            </w:r>
            <w:r w:rsidR="003765B3" w:rsidRPr="008F3BDC">
              <w:rPr>
                <w:rFonts w:ascii="Arial Narrow" w:hAnsi="Arial Narrow" w:cstheme="minorHAnsi"/>
                <w:sz w:val="22"/>
                <w:szCs w:val="22"/>
                <w:lang w:val="sk-SK"/>
              </w:rPr>
              <w:t>delávacích aktivít (CLA)</w:t>
            </w:r>
            <w:r w:rsidRPr="008F3BDC">
              <w:rPr>
                <w:rFonts w:ascii="Arial Narrow" w:hAnsi="Arial Narrow" w:cstheme="minorHAnsi"/>
                <w:sz w:val="22"/>
                <w:szCs w:val="22"/>
                <w:lang w:val="sk-SK"/>
              </w:rPr>
              <w:t>. Patria sem formálne a neformálne vzdelávanie, ako je definované v prieskume vzdelávania dospelých (AES).</w:t>
            </w:r>
          </w:p>
          <w:p w:rsidR="00044104" w:rsidRPr="008F3BDC" w:rsidRDefault="00044104" w:rsidP="00044104">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Nariadenie (EÚ) 2021/241 Príloha VII, oblasť intervencie 108 Podpora rozvoja digitálnych zručností</w:t>
            </w:r>
          </w:p>
        </w:tc>
      </w:tr>
      <w:tr w:rsidR="00857918" w:rsidRPr="008F3BDC" w:rsidTr="006C5C05">
        <w:tc>
          <w:tcPr>
            <w:tcW w:w="2175" w:type="dxa"/>
          </w:tcPr>
          <w:p w:rsidR="00857918" w:rsidRPr="008F3BDC" w:rsidRDefault="00857918" w:rsidP="00857918">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857918" w:rsidRPr="008F3BDC" w:rsidRDefault="003765B3" w:rsidP="00857918">
            <w:pPr>
              <w:rPr>
                <w:rFonts w:ascii="Arial Narrow" w:hAnsi="Arial Narrow" w:cstheme="minorHAnsi"/>
                <w:lang w:val="sk-SK"/>
              </w:rPr>
            </w:pPr>
            <w:r w:rsidRPr="008F3BDC">
              <w:rPr>
                <w:rFonts w:ascii="Arial Narrow" w:hAnsi="Arial Narrow" w:cstheme="minorHAnsi"/>
                <w:lang w:val="sk-SK"/>
              </w:rPr>
              <w:t>EECR02 Účastníci vzdelávania alebo odbornej prípravy pri odchode</w:t>
            </w:r>
          </w:p>
        </w:tc>
      </w:tr>
    </w:tbl>
    <w:p w:rsidR="0073469E" w:rsidRPr="008F3BDC" w:rsidRDefault="0073469E" w:rsidP="00547E6C">
      <w:pPr>
        <w:spacing w:after="120"/>
        <w:jc w:val="both"/>
        <w:rPr>
          <w:rFonts w:ascii="Arial Narrow" w:hAnsi="Arial Narrow" w:cstheme="minorHAnsi"/>
          <w:b/>
        </w:rPr>
      </w:pPr>
    </w:p>
    <w:p w:rsidR="00FC0DD1" w:rsidRPr="008F3BDC" w:rsidRDefault="00AF4189" w:rsidP="00AF4189">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Počet zamestnaných osôb alebo osôb v procese hľadania práce</w:t>
      </w:r>
    </w:p>
    <w:p w:rsidR="00AF4189" w:rsidRPr="008F3BDC" w:rsidRDefault="00AF4189" w:rsidP="00AF4189">
      <w:pPr>
        <w:spacing w:after="120"/>
        <w:jc w:val="both"/>
        <w:rPr>
          <w:rFonts w:ascii="Arial Narrow" w:hAnsi="Arial Narrow" w:cstheme="minorHAnsi"/>
        </w:rPr>
      </w:pPr>
      <w:r w:rsidRPr="008F3BDC">
        <w:rPr>
          <w:rFonts w:ascii="Arial Narrow" w:hAnsi="Arial Narrow" w:cstheme="minorHAnsi"/>
        </w:rPr>
        <w:t>V rámci mechanizmu v podmienkach SR sa uvedený ukazovateľ nebude vykazovať.</w:t>
      </w:r>
    </w:p>
    <w:p w:rsidR="00AF4189" w:rsidRPr="008F3BDC" w:rsidRDefault="00AF4189" w:rsidP="00AF4189">
      <w:pPr>
        <w:spacing w:after="120"/>
        <w:jc w:val="both"/>
        <w:rPr>
          <w:rFonts w:ascii="Arial Narrow" w:hAnsi="Arial Narrow" w:cstheme="minorHAnsi"/>
          <w:b/>
        </w:rPr>
      </w:pPr>
    </w:p>
    <w:p w:rsidR="00677F51" w:rsidRPr="008F3BDC" w:rsidRDefault="003261C3" w:rsidP="003261C3">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Kapacita nových alebo modernizovaných zariadení zdravotnej starostlivosti</w:t>
      </w:r>
    </w:p>
    <w:tbl>
      <w:tblPr>
        <w:tblStyle w:val="Mriekatabuky"/>
        <w:tblW w:w="9475" w:type="dxa"/>
        <w:tblLook w:val="04A0" w:firstRow="1" w:lastRow="0" w:firstColumn="1" w:lastColumn="0" w:noHBand="0" w:noVBand="1"/>
      </w:tblPr>
      <w:tblGrid>
        <w:gridCol w:w="2028"/>
        <w:gridCol w:w="7447"/>
      </w:tblGrid>
      <w:tr w:rsidR="003261C3" w:rsidRPr="008F3BDC" w:rsidTr="003261C3">
        <w:tc>
          <w:tcPr>
            <w:tcW w:w="2028" w:type="dxa"/>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lastRenderedPageBreak/>
              <w:t>Kód spoločného ukazovateľa</w:t>
            </w:r>
          </w:p>
        </w:tc>
        <w:tc>
          <w:tcPr>
            <w:tcW w:w="7447" w:type="dxa"/>
          </w:tcPr>
          <w:p w:rsidR="003261C3" w:rsidRPr="008F3BDC" w:rsidRDefault="003261C3" w:rsidP="003261C3">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RRFCI12</w:t>
            </w:r>
          </w:p>
        </w:tc>
      </w:tr>
      <w:tr w:rsidR="003261C3" w:rsidRPr="008F3BDC" w:rsidTr="003261C3">
        <w:tc>
          <w:tcPr>
            <w:tcW w:w="2028"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3261C3" w:rsidRPr="008F3BDC" w:rsidRDefault="003261C3" w:rsidP="003261C3">
            <w:pPr>
              <w:spacing w:after="120"/>
              <w:jc w:val="both"/>
              <w:rPr>
                <w:rFonts w:ascii="Arial Narrow" w:hAnsi="Arial Narrow" w:cstheme="minorHAnsi"/>
                <w:lang w:val="sk-SK"/>
              </w:rPr>
            </w:pPr>
            <w:r w:rsidRPr="008F3BDC">
              <w:rPr>
                <w:rFonts w:ascii="Arial Narrow" w:hAnsi="Arial Narrow" w:cstheme="minorHAnsi"/>
                <w:b/>
                <w:lang w:val="sk-SK"/>
              </w:rPr>
              <w:t>Kapacita nových alebo modernizovaných zariadení zdravotnej starostlivosti</w:t>
            </w:r>
          </w:p>
        </w:tc>
      </w:tr>
      <w:tr w:rsidR="003261C3" w:rsidRPr="008F3BDC" w:rsidTr="003261C3">
        <w:tc>
          <w:tcPr>
            <w:tcW w:w="2028"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osoby/rok</w:t>
            </w:r>
          </w:p>
        </w:tc>
      </w:tr>
      <w:tr w:rsidR="003261C3" w:rsidRPr="008F3BDC" w:rsidTr="003261C3">
        <w:tc>
          <w:tcPr>
            <w:tcW w:w="2028"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3261C3" w:rsidRPr="008F3BDC" w:rsidRDefault="002C1B7D" w:rsidP="003261C3">
            <w:pPr>
              <w:rPr>
                <w:rFonts w:ascii="Arial Narrow" w:hAnsi="Arial Narrow" w:cstheme="minorHAnsi"/>
                <w:lang w:val="sk-SK"/>
              </w:rPr>
            </w:pPr>
            <w:r w:rsidRPr="008F3BDC">
              <w:rPr>
                <w:rFonts w:ascii="Arial Narrow" w:hAnsi="Arial Narrow" w:cstheme="minorHAnsi"/>
                <w:lang w:val="sk-SK"/>
              </w:rPr>
              <w:t>stavový</w:t>
            </w:r>
          </w:p>
        </w:tc>
      </w:tr>
      <w:tr w:rsidR="006C5C05" w:rsidRPr="008F3BDC" w:rsidTr="003261C3">
        <w:tc>
          <w:tcPr>
            <w:tcW w:w="2028"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 bude 0,</w:t>
            </w:r>
          </w:p>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 xml:space="preserve">aktualizovaná bude v rámci každého obdobia podávania správ </w:t>
            </w:r>
          </w:p>
        </w:tc>
      </w:tr>
      <w:tr w:rsidR="003261C3" w:rsidRPr="008F3BDC" w:rsidTr="003261C3">
        <w:tc>
          <w:tcPr>
            <w:tcW w:w="2028"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E27EF9" w:rsidRPr="008F3BDC" w:rsidRDefault="00E27EF9" w:rsidP="003261C3">
            <w:pPr>
              <w:rPr>
                <w:rFonts w:ascii="Arial Narrow" w:hAnsi="Arial Narrow" w:cstheme="minorHAnsi"/>
                <w:lang w:val="sk-SK"/>
              </w:rPr>
            </w:pPr>
            <w:r w:rsidRPr="008F3BDC">
              <w:rPr>
                <w:rFonts w:ascii="Arial Narrow" w:hAnsi="Arial Narrow" w:cstheme="minorHAnsi"/>
                <w:lang w:val="sk-SK"/>
              </w:rPr>
              <w:t xml:space="preserve">Pilier 4 </w:t>
            </w:r>
            <w:proofErr w:type="spellStart"/>
            <w:r w:rsidRPr="008F3BDC">
              <w:rPr>
                <w:rFonts w:ascii="Arial Narrow" w:hAnsi="Arial Narrow" w:cstheme="minorHAnsi"/>
                <w:lang w:val="sk-SK"/>
              </w:rPr>
              <w:t>Socialna</w:t>
            </w:r>
            <w:proofErr w:type="spellEnd"/>
            <w:r w:rsidRPr="008F3BDC">
              <w:rPr>
                <w:rFonts w:ascii="Arial Narrow" w:hAnsi="Arial Narrow" w:cstheme="minorHAnsi"/>
                <w:lang w:val="sk-SK"/>
              </w:rPr>
              <w:t xml:space="preserve"> a územná súdržnosť </w:t>
            </w:r>
          </w:p>
          <w:p w:rsidR="003261C3" w:rsidRPr="008F3BDC" w:rsidRDefault="00E27EF9" w:rsidP="003261C3">
            <w:pPr>
              <w:rPr>
                <w:rFonts w:ascii="Arial Narrow" w:hAnsi="Arial Narrow" w:cstheme="minorHAnsi"/>
                <w:lang w:val="sk-SK"/>
              </w:rPr>
            </w:pPr>
            <w:r w:rsidRPr="008F3BDC">
              <w:rPr>
                <w:rFonts w:ascii="Arial Narrow" w:hAnsi="Arial Narrow" w:cstheme="minorHAnsi"/>
                <w:lang w:val="sk-SK"/>
              </w:rPr>
              <w:t>Pilier 5 Zdravie a hospodárska, sociálna a inštitucionálna odolnosť</w:t>
            </w:r>
          </w:p>
        </w:tc>
      </w:tr>
      <w:tr w:rsidR="003261C3" w:rsidRPr="008F3BDC" w:rsidTr="003261C3">
        <w:tc>
          <w:tcPr>
            <w:tcW w:w="2028" w:type="dxa"/>
            <w:shd w:val="clear" w:color="auto" w:fill="auto"/>
          </w:tcPr>
          <w:p w:rsidR="003261C3" w:rsidRPr="008F3BDC" w:rsidRDefault="003261C3" w:rsidP="003261C3">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3261C3" w:rsidRPr="008F3BDC" w:rsidRDefault="00D717F8" w:rsidP="00E27EF9">
            <w:pPr>
              <w:jc w:val="both"/>
              <w:rPr>
                <w:rFonts w:ascii="Arial Narrow" w:hAnsi="Arial Narrow" w:cstheme="minorHAnsi"/>
                <w:lang w:val="sk-SK"/>
              </w:rPr>
            </w:pPr>
            <w:r w:rsidRPr="008F3BDC">
              <w:rPr>
                <w:rFonts w:ascii="Arial Narrow" w:hAnsi="Arial Narrow" w:cstheme="minorHAnsi"/>
                <w:lang w:val="sk-SK"/>
              </w:rPr>
              <w:t xml:space="preserve">Maximálny ročný počet osôb, ktoré môžu aspoň raz počas obdobia jedného roka využiť vďaka podpore pochádzajúcej z opatrení v rámci </w:t>
            </w:r>
            <w:r w:rsidR="00DF7FEF">
              <w:rPr>
                <w:rFonts w:ascii="Arial Narrow" w:hAnsi="Arial Narrow" w:cstheme="minorHAnsi"/>
                <w:lang w:val="sk-SK"/>
              </w:rPr>
              <w:t>M</w:t>
            </w:r>
            <w:r w:rsidRPr="008F3BDC">
              <w:rPr>
                <w:rFonts w:ascii="Arial Narrow" w:hAnsi="Arial Narrow" w:cstheme="minorHAnsi"/>
                <w:lang w:val="sk-SK"/>
              </w:rPr>
              <w:t>echanizmu služby nového alebo modernizovaného zariadenia zdravotnej starostlivosti.</w:t>
            </w:r>
          </w:p>
          <w:p w:rsidR="00D717F8" w:rsidRPr="008F3BDC" w:rsidRDefault="00D717F8" w:rsidP="00E27EF9">
            <w:pPr>
              <w:jc w:val="both"/>
              <w:rPr>
                <w:rFonts w:ascii="Arial Narrow" w:hAnsi="Arial Narrow" w:cstheme="minorHAnsi"/>
                <w:lang w:val="sk-SK"/>
              </w:rPr>
            </w:pPr>
            <w:r w:rsidRPr="008F3BDC">
              <w:rPr>
                <w:rFonts w:ascii="Arial Narrow" w:hAnsi="Arial Narrow" w:cstheme="minorHAnsi"/>
                <w:lang w:val="sk-SK"/>
              </w:rPr>
              <w:t>Modernizácia nezahŕňa energetickú obnovu</w:t>
            </w:r>
            <w:r w:rsidR="00DF7FEF">
              <w:rPr>
                <w:rFonts w:ascii="Arial Narrow" w:hAnsi="Arial Narrow" w:cstheme="minorHAnsi"/>
                <w:lang w:val="sk-SK"/>
              </w:rPr>
              <w:t xml:space="preserve">, </w:t>
            </w:r>
            <w:r w:rsidRPr="008F3BDC">
              <w:rPr>
                <w:rFonts w:ascii="Arial Narrow" w:hAnsi="Arial Narrow" w:cstheme="minorHAnsi"/>
                <w:lang w:val="sk-SK"/>
              </w:rPr>
              <w:t>údržbu a</w:t>
            </w:r>
            <w:r w:rsidR="00DF7FEF">
              <w:rPr>
                <w:rFonts w:ascii="Arial Narrow" w:hAnsi="Arial Narrow" w:cstheme="minorHAnsi"/>
                <w:lang w:val="sk-SK"/>
              </w:rPr>
              <w:t>ni</w:t>
            </w:r>
            <w:r w:rsidRPr="008F3BDC">
              <w:rPr>
                <w:rFonts w:ascii="Arial Narrow" w:hAnsi="Arial Narrow" w:cstheme="minorHAnsi"/>
                <w:lang w:val="sk-SK"/>
              </w:rPr>
              <w:t xml:space="preserve"> opravy. Medzi zariadenia zdravotnej starostlivosti patria nemocnice, kliniky, strediská ambulantnej starostlivosti, strediská špecializovanej starostlivosti atď.</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Čas plnenia</w:t>
            </w:r>
          </w:p>
        </w:tc>
        <w:tc>
          <w:tcPr>
            <w:tcW w:w="7447" w:type="dxa"/>
          </w:tcPr>
          <w:p w:rsidR="006C5C05" w:rsidRPr="008F3BDC" w:rsidRDefault="00DF7FEF" w:rsidP="006C5C05">
            <w:pPr>
              <w:rPr>
                <w:rFonts w:ascii="Arial Narrow" w:hAnsi="Arial Narrow" w:cstheme="minorHAnsi"/>
                <w:lang w:val="sk-SK"/>
              </w:rPr>
            </w:pPr>
            <w:r>
              <w:rPr>
                <w:rFonts w:ascii="Arial Narrow" w:hAnsi="Arial Narrow" w:cstheme="minorHAnsi"/>
                <w:lang w:val="sk-SK"/>
              </w:rPr>
              <w:t>Moment, k</w:t>
            </w:r>
            <w:r w:rsidR="006C5C05" w:rsidRPr="008F3BDC">
              <w:rPr>
                <w:rFonts w:ascii="Arial Narrow" w:hAnsi="Arial Narrow" w:cstheme="minorHAnsi"/>
                <w:lang w:val="sk-SK"/>
              </w:rPr>
              <w:t xml:space="preserve">eď sú príslušné lekárske služby novej alebo modernizovanej infraštruktúry zdravotnej starostlivosti podporovanej v rámci </w:t>
            </w:r>
            <w:r>
              <w:rPr>
                <w:rFonts w:ascii="Arial Narrow" w:hAnsi="Arial Narrow" w:cstheme="minorHAnsi"/>
                <w:lang w:val="sk-SK"/>
              </w:rPr>
              <w:t>M</w:t>
            </w:r>
            <w:r w:rsidR="006C5C05" w:rsidRPr="008F3BDC">
              <w:rPr>
                <w:rFonts w:ascii="Arial Narrow" w:hAnsi="Arial Narrow" w:cstheme="minorHAnsi"/>
                <w:lang w:val="sk-SK"/>
              </w:rPr>
              <w:t>echanizmu funkčné.</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Kapacita jednej novej alebo </w:t>
            </w:r>
            <w:proofErr w:type="spellStart"/>
            <w:r w:rsidRPr="008F3BDC">
              <w:rPr>
                <w:rFonts w:ascii="Arial Narrow" w:hAnsi="Arial Narrow" w:cstheme="minorHAnsi"/>
                <w:lang w:val="sk-SK"/>
              </w:rPr>
              <w:t>novozmodernizovanej</w:t>
            </w:r>
            <w:proofErr w:type="spellEnd"/>
            <w:r w:rsidRPr="008F3BDC">
              <w:rPr>
                <w:rFonts w:ascii="Arial Narrow" w:hAnsi="Arial Narrow" w:cstheme="minorHAnsi"/>
                <w:lang w:val="sk-SK"/>
              </w:rPr>
              <w:t xml:space="preserve"> zdravotníckej služby alebo infraštruktúry zdravotnej starostlivosti by sa mala vykazovať iba raz, </w:t>
            </w:r>
            <w:r w:rsidR="00DF7FEF">
              <w:rPr>
                <w:rFonts w:ascii="Arial Narrow" w:hAnsi="Arial Narrow" w:cstheme="minorHAnsi"/>
                <w:lang w:val="sk-SK"/>
              </w:rPr>
              <w:t xml:space="preserve">a to v momente </w:t>
            </w:r>
            <w:r w:rsidRPr="008F3BDC">
              <w:rPr>
                <w:rFonts w:ascii="Arial Narrow" w:hAnsi="Arial Narrow" w:cstheme="minorHAnsi"/>
                <w:lang w:val="sk-SK"/>
              </w:rPr>
              <w:t>keď je prvýkrát uvedená do prevádzky.</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 xml:space="preserve">Žiadne </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6C5C05" w:rsidRPr="008F3BDC" w:rsidRDefault="006C5C05" w:rsidP="006C5C05">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NA</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color w:val="000000"/>
                <w:lang w:val="sk-SK"/>
              </w:rPr>
              <w:t>RCO69 Kapacita nových alebo modernizovaných zdravotníckych zariadení</w:t>
            </w:r>
          </w:p>
        </w:tc>
      </w:tr>
    </w:tbl>
    <w:p w:rsidR="00677F51" w:rsidRPr="008F3BDC" w:rsidRDefault="00677F51" w:rsidP="00547E6C">
      <w:pPr>
        <w:spacing w:after="120"/>
        <w:jc w:val="both"/>
        <w:rPr>
          <w:rFonts w:ascii="Arial Narrow" w:hAnsi="Arial Narrow" w:cstheme="minorHAnsi"/>
          <w:b/>
        </w:rPr>
      </w:pPr>
    </w:p>
    <w:p w:rsidR="00677F51" w:rsidRPr="008F3BDC" w:rsidRDefault="00B11C36" w:rsidP="00B11C36">
      <w:pPr>
        <w:pStyle w:val="Odsekzoznamu"/>
        <w:numPr>
          <w:ilvl w:val="0"/>
          <w:numId w:val="2"/>
        </w:numPr>
        <w:spacing w:after="120"/>
        <w:jc w:val="both"/>
        <w:rPr>
          <w:rFonts w:ascii="Arial Narrow" w:hAnsi="Arial Narrow" w:cstheme="minorHAnsi"/>
          <w:b/>
        </w:rPr>
      </w:pPr>
      <w:r w:rsidRPr="008F3BDC">
        <w:rPr>
          <w:rFonts w:ascii="Arial Narrow" w:hAnsi="Arial Narrow" w:cstheme="minorHAnsi"/>
          <w:b/>
        </w:rPr>
        <w:t>Kapacita tried v nových alebo modernizovaných zariadeniach starostlivosti o deti a vzdelávacích zariadeniach</w:t>
      </w:r>
    </w:p>
    <w:tbl>
      <w:tblPr>
        <w:tblStyle w:val="Mriekatabuky"/>
        <w:tblW w:w="9475" w:type="dxa"/>
        <w:tblLook w:val="04A0" w:firstRow="1" w:lastRow="0" w:firstColumn="1" w:lastColumn="0" w:noHBand="0" w:noVBand="1"/>
      </w:tblPr>
      <w:tblGrid>
        <w:gridCol w:w="2028"/>
        <w:gridCol w:w="7447"/>
      </w:tblGrid>
      <w:tr w:rsidR="00B11C36" w:rsidRPr="008F3BDC" w:rsidTr="003261C3">
        <w:tc>
          <w:tcPr>
            <w:tcW w:w="2028" w:type="dxa"/>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B11C36" w:rsidRPr="008F3BDC" w:rsidRDefault="00B11C36" w:rsidP="00B11C36">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RRFCI13</w:t>
            </w:r>
          </w:p>
        </w:tc>
      </w:tr>
      <w:tr w:rsidR="00B11C36" w:rsidRPr="008F3BDC" w:rsidTr="00B11C36">
        <w:tc>
          <w:tcPr>
            <w:tcW w:w="2028"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B11C36" w:rsidRPr="008F3BDC" w:rsidRDefault="00B11C36" w:rsidP="00B11C36">
            <w:pPr>
              <w:rPr>
                <w:rFonts w:ascii="Arial Narrow" w:hAnsi="Arial Narrow" w:cstheme="minorHAnsi"/>
                <w:lang w:val="sk-SK"/>
              </w:rPr>
            </w:pPr>
            <w:r w:rsidRPr="008F3BDC">
              <w:rPr>
                <w:rFonts w:ascii="Arial Narrow" w:hAnsi="Arial Narrow" w:cstheme="minorHAnsi"/>
                <w:b/>
                <w:lang w:val="sk-SK"/>
              </w:rPr>
              <w:t>Kapacita tried v nových alebo modernizovaných zariadeniach starostlivosti o deti a vzdelávacích zariadeniach</w:t>
            </w:r>
          </w:p>
        </w:tc>
      </w:tr>
      <w:tr w:rsidR="00B11C36" w:rsidRPr="008F3BDC" w:rsidTr="003261C3">
        <w:tc>
          <w:tcPr>
            <w:tcW w:w="2028"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osoby</w:t>
            </w:r>
          </w:p>
        </w:tc>
      </w:tr>
      <w:tr w:rsidR="00B11C36" w:rsidRPr="008F3BDC" w:rsidTr="003261C3">
        <w:tc>
          <w:tcPr>
            <w:tcW w:w="2028"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B11C36" w:rsidRPr="008F3BDC" w:rsidRDefault="002C1B7D" w:rsidP="00B11C36">
            <w:pPr>
              <w:rPr>
                <w:rFonts w:ascii="Arial Narrow" w:hAnsi="Arial Narrow" w:cstheme="minorHAnsi"/>
                <w:lang w:val="sk-SK"/>
              </w:rPr>
            </w:pPr>
            <w:r w:rsidRPr="008F3BDC">
              <w:rPr>
                <w:rFonts w:ascii="Arial Narrow" w:hAnsi="Arial Narrow" w:cstheme="minorHAnsi"/>
                <w:lang w:val="sk-SK"/>
              </w:rPr>
              <w:t>stavový</w:t>
            </w:r>
          </w:p>
        </w:tc>
      </w:tr>
      <w:tr w:rsidR="006C5C05" w:rsidRPr="008F3BDC" w:rsidTr="003261C3">
        <w:tc>
          <w:tcPr>
            <w:tcW w:w="2028"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východisková hodnota bude 0,</w:t>
            </w:r>
          </w:p>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 xml:space="preserve">aktualizovaná bude v rámci každého obdobia podávania správ </w:t>
            </w:r>
          </w:p>
        </w:tc>
      </w:tr>
      <w:tr w:rsidR="00B11C36" w:rsidRPr="008F3BDC" w:rsidTr="003261C3">
        <w:tc>
          <w:tcPr>
            <w:tcW w:w="2028"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 xml:space="preserve">Pilier 4 </w:t>
            </w:r>
            <w:proofErr w:type="spellStart"/>
            <w:r w:rsidRPr="008F3BDC">
              <w:rPr>
                <w:rFonts w:ascii="Arial Narrow" w:hAnsi="Arial Narrow" w:cstheme="minorHAnsi"/>
                <w:lang w:val="sk-SK"/>
              </w:rPr>
              <w:t>Socialna</w:t>
            </w:r>
            <w:proofErr w:type="spellEnd"/>
            <w:r w:rsidRPr="008F3BDC">
              <w:rPr>
                <w:rFonts w:ascii="Arial Narrow" w:hAnsi="Arial Narrow" w:cstheme="minorHAnsi"/>
                <w:lang w:val="sk-SK"/>
              </w:rPr>
              <w:t xml:space="preserve"> a územná súdržnosť </w:t>
            </w:r>
          </w:p>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Pilier 6 Politiky pre budúcu generáciu</w:t>
            </w:r>
          </w:p>
        </w:tc>
      </w:tr>
      <w:tr w:rsidR="00B11C36" w:rsidRPr="008F3BDC" w:rsidTr="003261C3">
        <w:tc>
          <w:tcPr>
            <w:tcW w:w="2028" w:type="dxa"/>
            <w:shd w:val="clear" w:color="auto" w:fill="auto"/>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047B36" w:rsidRPr="008F3BDC" w:rsidRDefault="00047B36" w:rsidP="00047B36">
            <w:pPr>
              <w:jc w:val="both"/>
              <w:rPr>
                <w:rFonts w:ascii="Arial Narrow" w:hAnsi="Arial Narrow" w:cstheme="minorHAnsi"/>
                <w:lang w:val="sk-SK"/>
              </w:rPr>
            </w:pPr>
            <w:r w:rsidRPr="008F3BDC">
              <w:rPr>
                <w:rFonts w:ascii="Arial Narrow" w:hAnsi="Arial Narrow" w:cstheme="minorHAnsi"/>
                <w:lang w:val="sk-SK"/>
              </w:rPr>
              <w:t xml:space="preserve">Kapacita tried, t. j. maximálny počet miest v nových alebo modernizovaných zariadeniach vzdelávania a starostlivosti v ranom detstve a vzdelávacích zariadeniach (ISCED 0 – 6) vďaka podpore pochádzajúcej z opatrení v rámci </w:t>
            </w:r>
            <w:r w:rsidR="00DF7FEF">
              <w:rPr>
                <w:rFonts w:ascii="Arial Narrow" w:hAnsi="Arial Narrow" w:cstheme="minorHAnsi"/>
                <w:lang w:val="sk-SK"/>
              </w:rPr>
              <w:t>M</w:t>
            </w:r>
            <w:r w:rsidRPr="008F3BDC">
              <w:rPr>
                <w:rFonts w:ascii="Arial Narrow" w:hAnsi="Arial Narrow" w:cstheme="minorHAnsi"/>
                <w:lang w:val="sk-SK"/>
              </w:rPr>
              <w:t>echanizmu. Kapacita tried sa vypočíta v súlade s vnútroštátnymi právnymi predpismi, nezahŕňa však učiteľov, rodičov, pomocný personál ani iné osoby, ktoré môžu takisto využívať</w:t>
            </w:r>
            <w:r w:rsidR="00DF7FEF">
              <w:rPr>
                <w:rFonts w:ascii="Arial Narrow" w:hAnsi="Arial Narrow" w:cstheme="minorHAnsi"/>
                <w:lang w:val="sk-SK"/>
              </w:rPr>
              <w:t xml:space="preserve"> služby</w:t>
            </w:r>
            <w:r w:rsidRPr="008F3BDC">
              <w:rPr>
                <w:rFonts w:ascii="Arial Narrow" w:hAnsi="Arial Narrow" w:cstheme="minorHAnsi"/>
                <w:lang w:val="sk-SK"/>
              </w:rPr>
              <w:t xml:space="preserve"> zariadenia.</w:t>
            </w:r>
          </w:p>
          <w:p w:rsidR="00B11C36" w:rsidRPr="008F3BDC" w:rsidRDefault="00047B36" w:rsidP="00047B36">
            <w:pPr>
              <w:jc w:val="both"/>
              <w:rPr>
                <w:rFonts w:ascii="Arial Narrow" w:hAnsi="Arial Narrow" w:cstheme="minorHAnsi"/>
                <w:lang w:val="sk-SK"/>
              </w:rPr>
            </w:pPr>
            <w:r w:rsidRPr="008F3BDC">
              <w:rPr>
                <w:rFonts w:ascii="Arial Narrow" w:hAnsi="Arial Narrow" w:cstheme="minorHAnsi"/>
                <w:lang w:val="sk-SK"/>
              </w:rPr>
              <w:t xml:space="preserve">Zariadenia vzdelávania a starostlivosti v ranom detstve, ako sú jasle a predškolské zariadenia, sú zariadenia určené pre deti od narodenia do začiatku základného vzdelávania (ISCED 0). Medzi vzdelávacie zariadenia patria školy (ISCED 1 – 3, ISCED 4) a vysoké školy (ISCED 5 – 6). Ukazovateľ sa vzťahuje na zariadenia starostlivosti o deti alebo vzdelávacie zariadenia, ktoré sú novovybudované alebo modernizované (napríklad na účel </w:t>
            </w:r>
            <w:r w:rsidRPr="008F3BDC">
              <w:rPr>
                <w:rFonts w:ascii="Arial Narrow" w:hAnsi="Arial Narrow" w:cstheme="minorHAnsi"/>
                <w:lang w:val="sk-SK"/>
              </w:rPr>
              <w:lastRenderedPageBreak/>
              <w:t>zlepšenia hygienických a bezpečnostných noriem), a modernizácia nezahŕňa energetickú obnovu ani údržbu a opravy.</w:t>
            </w:r>
          </w:p>
        </w:tc>
      </w:tr>
      <w:tr w:rsidR="006C5C05" w:rsidRPr="008F3BDC" w:rsidTr="003261C3">
        <w:tc>
          <w:tcPr>
            <w:tcW w:w="2028"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lastRenderedPageBreak/>
              <w:t>Čas plnenia</w:t>
            </w:r>
          </w:p>
        </w:tc>
        <w:tc>
          <w:tcPr>
            <w:tcW w:w="7447" w:type="dxa"/>
          </w:tcPr>
          <w:p w:rsidR="006C5C05" w:rsidRPr="008F3BDC" w:rsidRDefault="00DF7FEF" w:rsidP="006C5C05">
            <w:pPr>
              <w:rPr>
                <w:rFonts w:ascii="Arial Narrow" w:hAnsi="Arial Narrow" w:cstheme="minorHAnsi"/>
                <w:lang w:val="sk-SK"/>
              </w:rPr>
            </w:pPr>
            <w:r>
              <w:rPr>
                <w:rFonts w:ascii="Arial Narrow" w:hAnsi="Arial Narrow" w:cstheme="minorHAnsi"/>
                <w:lang w:val="sk-SK"/>
              </w:rPr>
              <w:t>Moment, k</w:t>
            </w:r>
            <w:r w:rsidR="006C5C05" w:rsidRPr="008F3BDC">
              <w:rPr>
                <w:rFonts w:ascii="Arial Narrow" w:hAnsi="Arial Narrow" w:cstheme="minorHAnsi"/>
                <w:lang w:val="sk-SK"/>
              </w:rPr>
              <w:t xml:space="preserve">eď je </w:t>
            </w:r>
            <w:r>
              <w:rPr>
                <w:rFonts w:ascii="Arial Narrow" w:hAnsi="Arial Narrow" w:cstheme="minorHAnsi"/>
                <w:lang w:val="sk-SK"/>
              </w:rPr>
              <w:t>do</w:t>
            </w:r>
            <w:r w:rsidR="006C5C05" w:rsidRPr="008F3BDC">
              <w:rPr>
                <w:rFonts w:ascii="Arial Narrow" w:hAnsi="Arial Narrow" w:cstheme="minorHAnsi"/>
                <w:lang w:val="sk-SK"/>
              </w:rPr>
              <w:t xml:space="preserve"> prevádzk</w:t>
            </w:r>
            <w:r w:rsidR="00474926">
              <w:rPr>
                <w:rFonts w:ascii="Arial Narrow" w:hAnsi="Arial Narrow" w:cstheme="minorHAnsi"/>
                <w:lang w:val="sk-SK"/>
              </w:rPr>
              <w:t xml:space="preserve">y uvedená </w:t>
            </w:r>
            <w:r w:rsidR="006C5C05" w:rsidRPr="008F3BDC">
              <w:rPr>
                <w:rFonts w:ascii="Arial Narrow" w:hAnsi="Arial Narrow" w:cstheme="minorHAnsi"/>
                <w:lang w:val="sk-SK"/>
              </w:rPr>
              <w:t xml:space="preserve"> príslušná trieda novej alebo modernizovanej vzdelávacej infraštruktúry podporovanej z opatrení v rámci mechanizmu</w:t>
            </w:r>
          </w:p>
        </w:tc>
      </w:tr>
      <w:tr w:rsidR="00B11C36" w:rsidRPr="008F3BDC" w:rsidTr="003261C3">
        <w:tc>
          <w:tcPr>
            <w:tcW w:w="2028" w:type="dxa"/>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B11C36" w:rsidRPr="008F3BDC" w:rsidRDefault="000E4DA7" w:rsidP="00B11C36">
            <w:pPr>
              <w:rPr>
                <w:rFonts w:ascii="Arial Narrow" w:hAnsi="Arial Narrow" w:cstheme="minorHAnsi"/>
                <w:lang w:val="sk-SK"/>
              </w:rPr>
            </w:pPr>
            <w:r w:rsidRPr="008F3BDC">
              <w:rPr>
                <w:rFonts w:ascii="Arial Narrow" w:hAnsi="Arial Narrow" w:cstheme="minorHAnsi"/>
                <w:lang w:val="sk-SK"/>
              </w:rPr>
              <w:t xml:space="preserve">Kapacita jednej novej alebo </w:t>
            </w:r>
            <w:proofErr w:type="spellStart"/>
            <w:r w:rsidRPr="008F3BDC">
              <w:rPr>
                <w:rFonts w:ascii="Arial Narrow" w:hAnsi="Arial Narrow" w:cstheme="minorHAnsi"/>
                <w:lang w:val="sk-SK"/>
              </w:rPr>
              <w:t>novozmodernizovanej</w:t>
            </w:r>
            <w:proofErr w:type="spellEnd"/>
            <w:r w:rsidRPr="008F3BDC">
              <w:rPr>
                <w:rFonts w:ascii="Arial Narrow" w:hAnsi="Arial Narrow" w:cstheme="minorHAnsi"/>
                <w:lang w:val="sk-SK"/>
              </w:rPr>
              <w:t xml:space="preserve"> učebne alebo vzdelávacej infraštruktúry by sa mala nahlasovať iba raz, keď je prvýkrát uvedená do prevádzky.</w:t>
            </w:r>
          </w:p>
        </w:tc>
      </w:tr>
      <w:tr w:rsidR="00B11C36" w:rsidRPr="008F3BDC" w:rsidTr="003261C3">
        <w:tc>
          <w:tcPr>
            <w:tcW w:w="2028" w:type="dxa"/>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B11C36" w:rsidRPr="008F3BDC" w:rsidRDefault="000E4DA7" w:rsidP="00B11C36">
            <w:pPr>
              <w:rPr>
                <w:rFonts w:ascii="Arial Narrow" w:hAnsi="Arial Narrow" w:cstheme="minorHAnsi"/>
                <w:lang w:val="sk-SK"/>
              </w:rPr>
            </w:pPr>
            <w:r w:rsidRPr="008F3BDC">
              <w:rPr>
                <w:rFonts w:ascii="Arial Narrow" w:hAnsi="Arial Narrow" w:cstheme="minorHAnsi"/>
                <w:lang w:val="sk-SK"/>
              </w:rPr>
              <w:t xml:space="preserve">Žiadne </w:t>
            </w:r>
          </w:p>
        </w:tc>
      </w:tr>
      <w:tr w:rsidR="00B11C36" w:rsidRPr="008F3BDC" w:rsidTr="003261C3">
        <w:tc>
          <w:tcPr>
            <w:tcW w:w="2028" w:type="dxa"/>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ISCED je referenčná medzinárodná klasifikácia pre organizovanie vzdelávacích programov a súvisiacich kvalifikácií podľa úrovní a oblastí. ISCED 2011 (úrovne vzdelávania) sa implementuje do všetkých zberov údajov EÚ od roku 2014. ISCED 2011 má deväť úrovní vzdelávania, od úrovne 0 po úroveň 8 (podrobnejšie je terciárne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0: Vzdelávanie v ranom detstve („menej ako základné“ pre dosiahnuté vzdelanie)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1: Primárne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2: Nižšie sekundárne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3: Vyššie stredoškolské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xml:space="preserve">• ISCED 4: </w:t>
            </w:r>
            <w:proofErr w:type="spellStart"/>
            <w:r w:rsidRPr="008F3BDC">
              <w:rPr>
                <w:rFonts w:ascii="Arial Narrow" w:hAnsi="Arial Narrow" w:cstheme="minorHAnsi"/>
                <w:bCs/>
                <w:sz w:val="22"/>
                <w:szCs w:val="22"/>
                <w:lang w:val="sk-SK"/>
              </w:rPr>
              <w:t>Postsekundárne</w:t>
            </w:r>
            <w:proofErr w:type="spellEnd"/>
            <w:r w:rsidRPr="008F3BDC">
              <w:rPr>
                <w:rFonts w:ascii="Arial Narrow" w:hAnsi="Arial Narrow" w:cstheme="minorHAnsi"/>
                <w:bCs/>
                <w:sz w:val="22"/>
                <w:szCs w:val="22"/>
                <w:lang w:val="sk-SK"/>
              </w:rPr>
              <w:t xml:space="preserve"> neterciárne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5: Krátkodobé terciárne vzdelávanie</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6: Bakalárska alebo ekvivalentná úroveň</w:t>
            </w:r>
          </w:p>
          <w:p w:rsidR="000E4DA7" w:rsidRPr="008F3BDC" w:rsidRDefault="000E4DA7" w:rsidP="000E4DA7">
            <w:pPr>
              <w:pStyle w:val="Default"/>
              <w:jc w:val="both"/>
              <w:rPr>
                <w:rFonts w:ascii="Arial Narrow" w:hAnsi="Arial Narrow" w:cstheme="minorHAnsi"/>
                <w:bCs/>
                <w:sz w:val="22"/>
                <w:szCs w:val="22"/>
                <w:lang w:val="sk-SK"/>
              </w:rPr>
            </w:pPr>
            <w:r w:rsidRPr="008F3BDC">
              <w:rPr>
                <w:rFonts w:ascii="Arial Narrow" w:hAnsi="Arial Narrow" w:cstheme="minorHAnsi"/>
                <w:bCs/>
                <w:sz w:val="22"/>
                <w:szCs w:val="22"/>
                <w:lang w:val="sk-SK"/>
              </w:rPr>
              <w:t>• ISCED 7: Magisterská alebo ekvivalentná úroveň</w:t>
            </w:r>
          </w:p>
          <w:p w:rsidR="00B11C36" w:rsidRPr="008F3BDC" w:rsidRDefault="000E4DA7" w:rsidP="000E4DA7">
            <w:pPr>
              <w:pStyle w:val="Default"/>
              <w:numPr>
                <w:ilvl w:val="0"/>
                <w:numId w:val="12"/>
              </w:numPr>
              <w:rPr>
                <w:rFonts w:ascii="Arial Narrow" w:hAnsi="Arial Narrow" w:cstheme="minorHAnsi"/>
                <w:sz w:val="22"/>
                <w:szCs w:val="22"/>
                <w:lang w:val="sk-SK"/>
              </w:rPr>
            </w:pPr>
            <w:r w:rsidRPr="008F3BDC">
              <w:rPr>
                <w:rFonts w:ascii="Arial Narrow" w:hAnsi="Arial Narrow" w:cstheme="minorHAnsi"/>
                <w:bCs/>
                <w:sz w:val="22"/>
                <w:szCs w:val="22"/>
                <w:lang w:val="sk-SK"/>
              </w:rPr>
              <w:t>• ISCED 8: Doktorandská alebo ekvivalentná úroveň</w:t>
            </w:r>
          </w:p>
        </w:tc>
      </w:tr>
      <w:tr w:rsidR="00B11C36" w:rsidRPr="008F3BDC" w:rsidTr="003261C3">
        <w:tc>
          <w:tcPr>
            <w:tcW w:w="2028" w:type="dxa"/>
          </w:tcPr>
          <w:p w:rsidR="00B11C36" w:rsidRPr="008F3BDC" w:rsidRDefault="00B11C36" w:rsidP="00B11C36">
            <w:pPr>
              <w:rPr>
                <w:rFonts w:ascii="Arial Narrow" w:hAnsi="Arial Narrow" w:cstheme="minorHAnsi"/>
                <w:lang w:val="sk-SK"/>
              </w:rPr>
            </w:pPr>
            <w:r w:rsidRPr="008F3BDC">
              <w:rPr>
                <w:rFonts w:ascii="Arial Narrow" w:hAnsi="Arial Narrow" w:cstheme="minorHAnsi"/>
                <w:lang w:val="sk-SK"/>
              </w:rPr>
              <w:t>Korešpondujúce ukazovatele v rámci EŠIF</w:t>
            </w:r>
          </w:p>
        </w:tc>
        <w:tc>
          <w:tcPr>
            <w:tcW w:w="7447" w:type="dxa"/>
          </w:tcPr>
          <w:p w:rsidR="000E4DA7" w:rsidRPr="008F3BDC" w:rsidRDefault="000E4DA7" w:rsidP="000E4DA7">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RCO66 Kapacita tried nových alebo modernizovaných zariadení starostlivosti o deti</w:t>
            </w:r>
          </w:p>
          <w:p w:rsidR="00B11C36" w:rsidRPr="008F3BDC" w:rsidRDefault="000E4DA7" w:rsidP="000E4DA7">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RCO67 Kapacita učební nových alebo modernizovaných vzdelávacích zariadení</w:t>
            </w:r>
          </w:p>
        </w:tc>
      </w:tr>
    </w:tbl>
    <w:p w:rsidR="00677F51" w:rsidRPr="00547E6C" w:rsidRDefault="00677F51" w:rsidP="00547E6C">
      <w:pPr>
        <w:spacing w:after="120"/>
        <w:jc w:val="both"/>
        <w:rPr>
          <w:rFonts w:ascii="Arial Narrow" w:hAnsi="Arial Narrow" w:cstheme="minorHAnsi"/>
          <w:b/>
        </w:rPr>
      </w:pPr>
    </w:p>
    <w:p w:rsidR="000E4DA7" w:rsidRPr="008F3BDC" w:rsidRDefault="000E4DA7" w:rsidP="000E4DA7">
      <w:pPr>
        <w:pStyle w:val="Odsekzoznamu"/>
        <w:numPr>
          <w:ilvl w:val="0"/>
          <w:numId w:val="2"/>
        </w:numPr>
        <w:spacing w:after="120"/>
        <w:jc w:val="both"/>
        <w:rPr>
          <w:rFonts w:ascii="Arial Narrow" w:hAnsi="Arial Narrow" w:cstheme="minorHAnsi"/>
        </w:rPr>
      </w:pPr>
      <w:r w:rsidRPr="008F3BDC">
        <w:rPr>
          <w:rFonts w:ascii="Arial Narrow" w:hAnsi="Arial Narrow" w:cstheme="minorHAnsi"/>
          <w:b/>
        </w:rPr>
        <w:t>Počet mladých ľudí vo veku 15 – 29 rokov, ktorí dostávajú podporu</w:t>
      </w:r>
    </w:p>
    <w:tbl>
      <w:tblPr>
        <w:tblStyle w:val="Mriekatabuky"/>
        <w:tblW w:w="9475" w:type="dxa"/>
        <w:tblLook w:val="04A0" w:firstRow="1" w:lastRow="0" w:firstColumn="1" w:lastColumn="0" w:noHBand="0" w:noVBand="1"/>
      </w:tblPr>
      <w:tblGrid>
        <w:gridCol w:w="2028"/>
        <w:gridCol w:w="7447"/>
      </w:tblGrid>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Kód spoločného ukazovateľa</w:t>
            </w:r>
          </w:p>
        </w:tc>
        <w:tc>
          <w:tcPr>
            <w:tcW w:w="7447" w:type="dxa"/>
          </w:tcPr>
          <w:p w:rsidR="000E4DA7" w:rsidRPr="008F3BDC" w:rsidRDefault="000E4DA7" w:rsidP="000E4DA7">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RRFCI14</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Názov spoločného ukazovateľa</w:t>
            </w:r>
          </w:p>
        </w:tc>
        <w:tc>
          <w:tcPr>
            <w:tcW w:w="7447" w:type="dxa"/>
            <w:shd w:val="clear" w:color="auto" w:fill="BDD6EE" w:themeFill="accent1" w:themeFillTint="66"/>
          </w:tcPr>
          <w:p w:rsidR="000E4DA7" w:rsidRPr="008F3BDC" w:rsidRDefault="000E4DA7" w:rsidP="000E4DA7">
            <w:pPr>
              <w:spacing w:after="120"/>
              <w:jc w:val="both"/>
              <w:rPr>
                <w:rFonts w:ascii="Arial Narrow" w:hAnsi="Arial Narrow" w:cstheme="minorHAnsi"/>
                <w:lang w:val="sk-SK"/>
              </w:rPr>
            </w:pPr>
            <w:r w:rsidRPr="008F3BDC">
              <w:rPr>
                <w:rFonts w:ascii="Arial Narrow" w:hAnsi="Arial Narrow" w:cstheme="minorHAnsi"/>
                <w:b/>
                <w:lang w:val="sk-SK"/>
              </w:rPr>
              <w:t>Počet mladých ľudí vo veku 15 – 29 rokov, ktorí dostávajú podporu</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Jednotka</w:t>
            </w:r>
          </w:p>
        </w:tc>
        <w:tc>
          <w:tcPr>
            <w:tcW w:w="7447" w:type="dxa"/>
            <w:shd w:val="clear" w:color="auto" w:fill="auto"/>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Osoby</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Typ spoločného ukazovateľa</w:t>
            </w:r>
          </w:p>
        </w:tc>
        <w:tc>
          <w:tcPr>
            <w:tcW w:w="7447" w:type="dxa"/>
            <w:shd w:val="clear" w:color="auto" w:fill="auto"/>
          </w:tcPr>
          <w:p w:rsidR="000E4DA7" w:rsidRPr="008F3BDC" w:rsidRDefault="00960B13" w:rsidP="000E4DA7">
            <w:pPr>
              <w:rPr>
                <w:rFonts w:ascii="Arial Narrow" w:hAnsi="Arial Narrow" w:cstheme="minorHAnsi"/>
                <w:highlight w:val="yellow"/>
                <w:lang w:val="sk-SK"/>
              </w:rPr>
            </w:pPr>
            <w:r w:rsidRPr="008F3BDC">
              <w:rPr>
                <w:rFonts w:ascii="Arial Narrow" w:hAnsi="Arial Narrow" w:cstheme="minorHAnsi"/>
                <w:lang w:val="sk-SK"/>
              </w:rPr>
              <w:t xml:space="preserve">Priebežný - </w:t>
            </w:r>
            <w:r w:rsidR="00CD7E29" w:rsidRPr="008F3BDC">
              <w:rPr>
                <w:rFonts w:ascii="Arial Narrow" w:hAnsi="Arial Narrow" w:cstheme="minorHAnsi"/>
                <w:lang w:val="sk-SK"/>
              </w:rPr>
              <w:t>Vykazovaný priebežne – hodnoty sú reportované len za sledované obdobie</w:t>
            </w:r>
          </w:p>
        </w:tc>
      </w:tr>
      <w:tr w:rsidR="00791A2B" w:rsidRPr="008F3BDC" w:rsidTr="000E4DA7">
        <w:tc>
          <w:tcPr>
            <w:tcW w:w="2028" w:type="dxa"/>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Východisková hodnota</w:t>
            </w:r>
          </w:p>
        </w:tc>
        <w:tc>
          <w:tcPr>
            <w:tcW w:w="7447" w:type="dxa"/>
            <w:shd w:val="clear" w:color="auto" w:fill="auto"/>
          </w:tcPr>
          <w:p w:rsidR="00791A2B" w:rsidRPr="008F3BDC" w:rsidRDefault="00791A2B" w:rsidP="00791A2B">
            <w:pPr>
              <w:rPr>
                <w:rFonts w:ascii="Arial Narrow" w:hAnsi="Arial Narrow" w:cstheme="minorHAnsi"/>
                <w:lang w:val="sk-SK"/>
              </w:rPr>
            </w:pPr>
            <w:r w:rsidRPr="008F3BDC">
              <w:rPr>
                <w:rFonts w:ascii="Arial Narrow" w:hAnsi="Arial Narrow" w:cstheme="minorHAnsi"/>
                <w:lang w:val="sk-SK"/>
              </w:rPr>
              <w:t>za každé vykazované obdobie začína východiskovou hodnotou 0</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Piliere Mechanizmu na podporu obnovy a odolnosti</w:t>
            </w:r>
          </w:p>
        </w:tc>
        <w:tc>
          <w:tcPr>
            <w:tcW w:w="7447" w:type="dxa"/>
            <w:shd w:val="clear" w:color="auto" w:fill="auto"/>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Pilier 6 Politiky pre budúcu generáciu</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Definícia a pojmy</w:t>
            </w:r>
          </w:p>
        </w:tc>
        <w:tc>
          <w:tcPr>
            <w:tcW w:w="7447" w:type="dxa"/>
            <w:shd w:val="clear" w:color="auto" w:fill="auto"/>
          </w:tcPr>
          <w:p w:rsidR="000E4DA7" w:rsidRPr="008F3BDC" w:rsidRDefault="00F20E91" w:rsidP="000E4DA7">
            <w:pPr>
              <w:jc w:val="both"/>
              <w:rPr>
                <w:rFonts w:ascii="Arial Narrow" w:hAnsi="Arial Narrow" w:cstheme="minorHAnsi"/>
                <w:lang w:val="sk-SK"/>
              </w:rPr>
            </w:pPr>
            <w:r w:rsidRPr="008F3BDC">
              <w:rPr>
                <w:rFonts w:ascii="Arial Narrow" w:hAnsi="Arial Narrow" w:cstheme="minorHAnsi"/>
                <w:lang w:val="sk-SK"/>
              </w:rPr>
              <w:t xml:space="preserve">Počet účastníkov vo veku 15 – 29 rokov, ktorí získali peňažnú alebo nepeňažnú podporu prostredníctvom opatrení v rámci </w:t>
            </w:r>
            <w:r w:rsidR="004E1C1A">
              <w:rPr>
                <w:rFonts w:ascii="Arial Narrow" w:hAnsi="Arial Narrow" w:cstheme="minorHAnsi"/>
                <w:lang w:val="sk-SK"/>
              </w:rPr>
              <w:t>M</w:t>
            </w:r>
            <w:r w:rsidRPr="008F3BDC">
              <w:rPr>
                <w:rFonts w:ascii="Arial Narrow" w:hAnsi="Arial Narrow" w:cstheme="minorHAnsi"/>
                <w:lang w:val="sk-SK"/>
              </w:rPr>
              <w:t>echanizmu. Podporou sa rozumie opatrenie, ktoré sa započítava len raz a</w:t>
            </w:r>
            <w:r w:rsidR="004E1C1A">
              <w:rPr>
                <w:rFonts w:ascii="Arial Narrow" w:hAnsi="Arial Narrow" w:cstheme="minorHAnsi"/>
                <w:lang w:val="sk-SK"/>
              </w:rPr>
              <w:t> </w:t>
            </w:r>
            <w:r w:rsidRPr="008F3BDC">
              <w:rPr>
                <w:rFonts w:ascii="Arial Narrow" w:hAnsi="Arial Narrow" w:cstheme="minorHAnsi"/>
                <w:lang w:val="sk-SK"/>
              </w:rPr>
              <w:t>to</w:t>
            </w:r>
            <w:r w:rsidR="004E1C1A">
              <w:rPr>
                <w:rFonts w:ascii="Arial Narrow" w:hAnsi="Arial Narrow" w:cstheme="minorHAnsi"/>
                <w:lang w:val="sk-SK"/>
              </w:rPr>
              <w:t xml:space="preserve"> </w:t>
            </w:r>
            <w:r w:rsidRPr="008F3BDC">
              <w:rPr>
                <w:rFonts w:ascii="Arial Narrow" w:hAnsi="Arial Narrow" w:cstheme="minorHAnsi"/>
                <w:lang w:val="sk-SK"/>
              </w:rPr>
              <w:t xml:space="preserve">aj keď </w:t>
            </w:r>
            <w:r w:rsidR="004E1C1A">
              <w:rPr>
                <w:rFonts w:ascii="Arial Narrow" w:hAnsi="Arial Narrow" w:cstheme="minorHAnsi"/>
                <w:lang w:val="sk-SK"/>
              </w:rPr>
              <w:t xml:space="preserve">podpora </w:t>
            </w:r>
            <w:r w:rsidRPr="008F3BDC">
              <w:rPr>
                <w:rFonts w:ascii="Arial Narrow" w:hAnsi="Arial Narrow" w:cstheme="minorHAnsi"/>
                <w:lang w:val="sk-SK"/>
              </w:rPr>
              <w:t xml:space="preserve">trvá niekoľko rokov. </w:t>
            </w:r>
            <w:r w:rsidR="004E1C1A">
              <w:rPr>
                <w:rFonts w:ascii="Arial Narrow" w:hAnsi="Arial Narrow" w:cstheme="minorHAnsi"/>
                <w:lang w:val="sk-SK"/>
              </w:rPr>
              <w:t xml:space="preserve"> Naopak</w:t>
            </w:r>
            <w:r w:rsidRPr="008F3BDC">
              <w:rPr>
                <w:rFonts w:ascii="Arial Narrow" w:hAnsi="Arial Narrow" w:cstheme="minorHAnsi"/>
                <w:lang w:val="sk-SK"/>
              </w:rPr>
              <w:t>, účastník, ktorý je podporený viackrát (v rámci rôznych opatrení), by sa mal započítavať viackrát,</w:t>
            </w:r>
            <w:r w:rsidR="004E1C1A">
              <w:rPr>
                <w:rFonts w:ascii="Arial Narrow" w:hAnsi="Arial Narrow" w:cstheme="minorHAnsi"/>
                <w:lang w:val="sk-SK"/>
              </w:rPr>
              <w:t xml:space="preserve"> a to </w:t>
            </w:r>
            <w:r w:rsidRPr="008F3BDC">
              <w:rPr>
                <w:rFonts w:ascii="Arial Narrow" w:hAnsi="Arial Narrow" w:cstheme="minorHAnsi"/>
                <w:lang w:val="sk-SK"/>
              </w:rPr>
              <w:t>za každú poskytnutú podporu samostatne.</w:t>
            </w:r>
          </w:p>
        </w:tc>
      </w:tr>
      <w:tr w:rsidR="006C5C05" w:rsidRPr="008F3BDC" w:rsidTr="000E4DA7">
        <w:tc>
          <w:tcPr>
            <w:tcW w:w="2028" w:type="dxa"/>
          </w:tcPr>
          <w:p w:rsidR="006C5C05" w:rsidRPr="008F3BDC" w:rsidRDefault="006C5C05" w:rsidP="006C5C05">
            <w:pPr>
              <w:rPr>
                <w:rFonts w:ascii="Arial Narrow" w:hAnsi="Arial Narrow" w:cstheme="minorHAnsi"/>
                <w:highlight w:val="yellow"/>
                <w:lang w:val="sk-SK"/>
              </w:rPr>
            </w:pPr>
            <w:r w:rsidRPr="008F3BDC">
              <w:rPr>
                <w:rFonts w:ascii="Arial Narrow" w:hAnsi="Arial Narrow" w:cstheme="minorHAnsi"/>
                <w:lang w:val="sk-SK"/>
              </w:rPr>
              <w:t>Čas plnenia</w:t>
            </w:r>
          </w:p>
        </w:tc>
        <w:tc>
          <w:tcPr>
            <w:tcW w:w="7447" w:type="dxa"/>
          </w:tcPr>
          <w:p w:rsidR="006C5C05" w:rsidRPr="008F3BDC" w:rsidRDefault="006C5C05" w:rsidP="006C5C05">
            <w:pPr>
              <w:rPr>
                <w:rFonts w:ascii="Arial Narrow" w:hAnsi="Arial Narrow" w:cstheme="minorHAnsi"/>
                <w:lang w:val="sk-SK"/>
              </w:rPr>
            </w:pPr>
            <w:r w:rsidRPr="008F3BDC">
              <w:rPr>
                <w:rFonts w:ascii="Arial Narrow" w:hAnsi="Arial Narrow" w:cstheme="minorHAnsi"/>
                <w:lang w:val="sk-SK"/>
              </w:rPr>
              <w:t>Účastníci sa započítajú k dátumu, keď dostanú podporu z opatrení v rámci mechanizmu.</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Metodika pre stanovenie cieľovej hodnoty</w:t>
            </w:r>
          </w:p>
        </w:tc>
        <w:tc>
          <w:tcPr>
            <w:tcW w:w="7447" w:type="dxa"/>
          </w:tcPr>
          <w:p w:rsidR="00B30442" w:rsidRPr="008F3BDC" w:rsidRDefault="00AF5E76" w:rsidP="00B30442">
            <w:pPr>
              <w:jc w:val="both"/>
              <w:rPr>
                <w:rFonts w:ascii="Arial Narrow" w:hAnsi="Arial Narrow" w:cstheme="minorHAnsi"/>
                <w:lang w:val="sk-SK"/>
              </w:rPr>
            </w:pPr>
            <w:r w:rsidRPr="008F3BDC">
              <w:rPr>
                <w:rFonts w:ascii="Arial Narrow" w:hAnsi="Arial Narrow" w:cstheme="minorHAnsi"/>
                <w:lang w:val="sk-SK"/>
              </w:rPr>
              <w:t>Účastník</w:t>
            </w:r>
            <w:r w:rsidR="00B30442" w:rsidRPr="008F3BDC">
              <w:rPr>
                <w:rFonts w:ascii="Arial Narrow" w:hAnsi="Arial Narrow" w:cstheme="minorHAnsi"/>
                <w:lang w:val="sk-SK"/>
              </w:rPr>
              <w:t xml:space="preserve"> sa započítava do podpory</w:t>
            </w:r>
            <w:r w:rsidR="004E1C1A">
              <w:rPr>
                <w:rFonts w:ascii="Arial Narrow" w:hAnsi="Arial Narrow" w:cstheme="minorHAnsi"/>
                <w:lang w:val="sk-SK"/>
              </w:rPr>
              <w:t xml:space="preserve"> raz</w:t>
            </w:r>
            <w:r w:rsidR="00B30442" w:rsidRPr="008F3BDC">
              <w:rPr>
                <w:rFonts w:ascii="Arial Narrow" w:hAnsi="Arial Narrow" w:cstheme="minorHAnsi"/>
                <w:lang w:val="sk-SK"/>
              </w:rPr>
              <w:t xml:space="preserve">, aj keď trvala niekoľko rokov. </w:t>
            </w:r>
            <w:r w:rsidR="004E1C1A">
              <w:rPr>
                <w:rFonts w:ascii="Arial Narrow" w:hAnsi="Arial Narrow" w:cstheme="minorHAnsi"/>
                <w:lang w:val="sk-SK"/>
              </w:rPr>
              <w:t xml:space="preserve">Naopak, mladý človek </w:t>
            </w:r>
            <w:r w:rsidR="00B30442" w:rsidRPr="008F3BDC">
              <w:rPr>
                <w:rFonts w:ascii="Arial Narrow" w:hAnsi="Arial Narrow" w:cstheme="minorHAnsi"/>
                <w:lang w:val="sk-SK"/>
              </w:rPr>
              <w:t xml:space="preserve"> by mal byť v rámci dvoch rôznych schém započítaný dvakrát – raz v rámci každej zo schém, do ktorej bol zapojený.</w:t>
            </w:r>
          </w:p>
          <w:p w:rsidR="000E4DA7" w:rsidRPr="008F3BDC" w:rsidRDefault="00B30442" w:rsidP="00B30442">
            <w:pPr>
              <w:jc w:val="both"/>
              <w:rPr>
                <w:rFonts w:ascii="Arial Narrow" w:hAnsi="Arial Narrow" w:cstheme="minorHAnsi"/>
                <w:lang w:val="sk-SK"/>
              </w:rPr>
            </w:pPr>
            <w:r w:rsidRPr="008F3BDC">
              <w:rPr>
                <w:rFonts w:ascii="Arial Narrow" w:hAnsi="Arial Narrow" w:cstheme="minorHAnsi"/>
                <w:lang w:val="sk-SK"/>
              </w:rPr>
              <w:t>Tento ukazovateľ by mohol zahŕňať osoby podporované v rámci ukazovateľov 10 a 11. Počty uvádzané vo vekovej kategórii 18-29 pre ukazovatele 10 a 11 by mali byť vždy nižšie ako počty uvádzané pre tento ukazovateľ.</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Členenie údajov</w:t>
            </w:r>
          </w:p>
        </w:tc>
        <w:tc>
          <w:tcPr>
            <w:tcW w:w="7447" w:type="dxa"/>
          </w:tcPr>
          <w:p w:rsidR="000E4DA7" w:rsidRPr="008F3BDC" w:rsidRDefault="00B30442" w:rsidP="000E4DA7">
            <w:pPr>
              <w:rPr>
                <w:rFonts w:ascii="Arial Narrow" w:hAnsi="Arial Narrow" w:cstheme="minorHAnsi"/>
                <w:lang w:val="sk-SK"/>
              </w:rPr>
            </w:pPr>
            <w:r w:rsidRPr="008F3BDC">
              <w:rPr>
                <w:rFonts w:ascii="Arial Narrow" w:hAnsi="Arial Narrow" w:cstheme="minorHAnsi"/>
                <w:lang w:val="sk-SK"/>
              </w:rPr>
              <w:t>Ukazovateľ sa člení podľa pohlavia.</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t>Referencie</w:t>
            </w:r>
          </w:p>
        </w:tc>
        <w:tc>
          <w:tcPr>
            <w:tcW w:w="7447" w:type="dxa"/>
          </w:tcPr>
          <w:p w:rsidR="000E4DA7" w:rsidRPr="008F3BDC" w:rsidRDefault="000E4DA7" w:rsidP="000E4DA7">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NA</w:t>
            </w:r>
          </w:p>
        </w:tc>
      </w:tr>
      <w:tr w:rsidR="000E4DA7" w:rsidRPr="008F3BDC" w:rsidTr="000E4DA7">
        <w:tc>
          <w:tcPr>
            <w:tcW w:w="2028" w:type="dxa"/>
          </w:tcPr>
          <w:p w:rsidR="000E4DA7" w:rsidRPr="008F3BDC" w:rsidRDefault="000E4DA7" w:rsidP="000E4DA7">
            <w:pPr>
              <w:rPr>
                <w:rFonts w:ascii="Arial Narrow" w:hAnsi="Arial Narrow" w:cstheme="minorHAnsi"/>
                <w:lang w:val="sk-SK"/>
              </w:rPr>
            </w:pPr>
            <w:r w:rsidRPr="008F3BDC">
              <w:rPr>
                <w:rFonts w:ascii="Arial Narrow" w:hAnsi="Arial Narrow" w:cstheme="minorHAnsi"/>
                <w:lang w:val="sk-SK"/>
              </w:rPr>
              <w:lastRenderedPageBreak/>
              <w:t>Korešpondujúce ukazovatele v rámci EŠIF</w:t>
            </w:r>
          </w:p>
        </w:tc>
        <w:tc>
          <w:tcPr>
            <w:tcW w:w="7447" w:type="dxa"/>
          </w:tcPr>
          <w:p w:rsidR="000E4DA7" w:rsidRPr="008F3BDC" w:rsidRDefault="00B30442" w:rsidP="000E4DA7">
            <w:pPr>
              <w:pStyle w:val="Default"/>
              <w:jc w:val="both"/>
              <w:rPr>
                <w:rFonts w:ascii="Arial Narrow" w:hAnsi="Arial Narrow" w:cstheme="minorHAnsi"/>
                <w:sz w:val="22"/>
                <w:szCs w:val="22"/>
                <w:lang w:val="sk-SK"/>
              </w:rPr>
            </w:pPr>
            <w:r w:rsidRPr="008F3BDC">
              <w:rPr>
                <w:rFonts w:ascii="Arial Narrow" w:hAnsi="Arial Narrow" w:cstheme="minorHAnsi"/>
                <w:sz w:val="22"/>
                <w:szCs w:val="22"/>
                <w:lang w:val="sk-SK"/>
              </w:rPr>
              <w:t>EECO07 Účastníci vo veku 18-29 rokov</w:t>
            </w:r>
          </w:p>
        </w:tc>
      </w:tr>
    </w:tbl>
    <w:p w:rsidR="00677F51" w:rsidRDefault="00677F51"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Default="00F429F4" w:rsidP="00AF4189">
      <w:pPr>
        <w:spacing w:after="120"/>
        <w:jc w:val="both"/>
        <w:rPr>
          <w:rFonts w:ascii="Arial Narrow" w:hAnsi="Arial Narrow" w:cstheme="minorHAnsi"/>
          <w:b/>
        </w:rPr>
      </w:pPr>
    </w:p>
    <w:p w:rsidR="00F429F4" w:rsidRPr="006E6448" w:rsidRDefault="00F429F4" w:rsidP="00F429F4">
      <w:pPr>
        <w:jc w:val="center"/>
        <w:rPr>
          <w:rFonts w:ascii="Arial Narrow" w:hAnsi="Arial Narrow"/>
          <w:sz w:val="20"/>
          <w:szCs w:val="20"/>
        </w:rPr>
      </w:pPr>
      <w:r w:rsidRPr="00305ACA">
        <w:rPr>
          <w:rFonts w:ascii="Arial" w:eastAsia="Times New Roman" w:hAnsi="Arial" w:cs="Arial"/>
          <w:noProof/>
          <w:color w:val="252525"/>
          <w:sz w:val="23"/>
          <w:szCs w:val="23"/>
          <w:lang w:eastAsia="sk-SK"/>
        </w:rPr>
        <w:drawing>
          <wp:inline distT="0" distB="0" distL="0" distR="0" wp14:anchorId="7E47887F" wp14:editId="194C6F5E">
            <wp:extent cx="4572000" cy="790575"/>
            <wp:effectExtent l="0" t="0" r="0" b="0"/>
            <wp:docPr id="9" name="Obrázok 9" descr="OP EVS - 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 EVS - ES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790575"/>
                    </a:xfrm>
                    <a:prstGeom prst="rect">
                      <a:avLst/>
                    </a:prstGeom>
                    <a:noFill/>
                    <a:ln>
                      <a:noFill/>
                    </a:ln>
                  </pic:spPr>
                </pic:pic>
              </a:graphicData>
            </a:graphic>
          </wp:inline>
        </w:drawing>
      </w:r>
    </w:p>
    <w:p w:rsidR="00F429F4" w:rsidRPr="006E6448" w:rsidRDefault="00F429F4" w:rsidP="00F429F4">
      <w:pPr>
        <w:jc w:val="center"/>
        <w:rPr>
          <w:rFonts w:ascii="Arial Narrow" w:hAnsi="Arial Narrow"/>
        </w:rPr>
      </w:pPr>
      <w:r w:rsidRPr="00DA3F2C">
        <w:rPr>
          <w:rFonts w:ascii="Verdana" w:eastAsia="Times New Roman" w:hAnsi="Verdana" w:cs="Arial"/>
          <w:iCs/>
          <w:color w:val="252525"/>
          <w:lang w:eastAsia="sk-SK"/>
        </w:rPr>
        <w:t>Tento projekt je podporený z Európskeho sociálneho fondu.</w:t>
      </w:r>
    </w:p>
    <w:p w:rsidR="00F429F4" w:rsidRPr="008F3BDC" w:rsidRDefault="00F429F4" w:rsidP="00AF4189">
      <w:pPr>
        <w:spacing w:after="120"/>
        <w:jc w:val="both"/>
        <w:rPr>
          <w:rFonts w:ascii="Arial Narrow" w:hAnsi="Arial Narrow" w:cstheme="minorHAnsi"/>
          <w:b/>
        </w:rPr>
      </w:pPr>
    </w:p>
    <w:sectPr w:rsidR="00F429F4" w:rsidRPr="008F3BDC">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4894" w:rsidRDefault="00C84894" w:rsidP="0004568E">
      <w:pPr>
        <w:spacing w:after="0" w:line="240" w:lineRule="auto"/>
      </w:pPr>
      <w:r>
        <w:separator/>
      </w:r>
    </w:p>
  </w:endnote>
  <w:endnote w:type="continuationSeparator" w:id="0">
    <w:p w:rsidR="00C84894" w:rsidRDefault="00C84894" w:rsidP="000456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 (Základný text">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B7" w:rsidRPr="00E37135" w:rsidRDefault="00DC11B7" w:rsidP="00E37135">
    <w:pPr>
      <w:pStyle w:val="Pta"/>
      <w:jc w:val="right"/>
      <w:rPr>
        <w:rFonts w:ascii="Arial Narrow" w:hAnsi="Arial Narrow"/>
      </w:rPr>
    </w:pPr>
    <w:r>
      <w:rPr>
        <w:rFonts w:ascii="Arial Narrow" w:hAnsi="Arial Narrow"/>
      </w:rPr>
      <w:t>účinnosť: 13</w:t>
    </w:r>
    <w:r w:rsidRPr="00E37135">
      <w:rPr>
        <w:rFonts w:ascii="Arial Narrow" w:hAnsi="Arial Narrow"/>
      </w:rPr>
      <w:t>.0</w:t>
    </w:r>
    <w:r>
      <w:rPr>
        <w:rFonts w:ascii="Arial Narrow" w:hAnsi="Arial Narrow"/>
      </w:rPr>
      <w:t>4</w:t>
    </w:r>
    <w:r w:rsidRPr="00E37135">
      <w:rPr>
        <w:rFonts w:ascii="Arial Narrow" w:hAnsi="Arial Narrow"/>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4894" w:rsidRDefault="00C84894" w:rsidP="0004568E">
      <w:pPr>
        <w:spacing w:after="0" w:line="240" w:lineRule="auto"/>
      </w:pPr>
      <w:r>
        <w:separator/>
      </w:r>
    </w:p>
  </w:footnote>
  <w:footnote w:type="continuationSeparator" w:id="0">
    <w:p w:rsidR="00C84894" w:rsidRDefault="00C84894" w:rsidP="0004568E">
      <w:pPr>
        <w:spacing w:after="0" w:line="240" w:lineRule="auto"/>
      </w:pPr>
      <w:r>
        <w:continuationSeparator/>
      </w:r>
    </w:p>
  </w:footnote>
  <w:footnote w:id="1">
    <w:p w:rsidR="00DC11B7" w:rsidRPr="0002197E" w:rsidRDefault="00DC11B7" w:rsidP="00BD3E67">
      <w:pPr>
        <w:spacing w:after="120"/>
        <w:jc w:val="both"/>
        <w:rPr>
          <w:rFonts w:ascii="Arial Narrow" w:hAnsi="Arial Narrow" w:cstheme="minorHAnsi"/>
          <w:sz w:val="18"/>
          <w:szCs w:val="18"/>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r w:rsidRPr="0002197E">
        <w:rPr>
          <w:rFonts w:ascii="Arial Narrow" w:hAnsi="Arial Narrow" w:cstheme="minorHAnsi"/>
          <w:sz w:val="18"/>
          <w:szCs w:val="18"/>
        </w:rPr>
        <w:t>Členský štát nemusí vykazovať ukazovateľ, ak k nemu neprispievajú žiadne reformy a investície jeho plánu obnovy a odolnosti. V takýchto výnimočných prípadoch však musí existovať dohoda medzi členským štátom a  EK.</w:t>
      </w:r>
    </w:p>
    <w:p w:rsidR="00DC11B7" w:rsidRDefault="00DC11B7">
      <w:pPr>
        <w:pStyle w:val="Textpoznmkypodiarou"/>
      </w:pPr>
    </w:p>
  </w:footnote>
  <w:footnote w:id="2">
    <w:p w:rsidR="00DC11B7" w:rsidRPr="0002197E" w:rsidRDefault="00DC11B7" w:rsidP="0002197E">
      <w:pPr>
        <w:pStyle w:val="Textpoznmkypodiarou"/>
        <w:spacing w:after="120"/>
        <w:rPr>
          <w:rFonts w:ascii="Arial Narrow" w:hAnsi="Arial Narrow"/>
          <w:sz w:val="18"/>
          <w:szCs w:val="18"/>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r w:rsidRPr="0002197E">
        <w:rPr>
          <w:rFonts w:ascii="Arial Narrow" w:hAnsi="Arial Narrow"/>
          <w:sz w:val="18"/>
          <w:szCs w:val="18"/>
        </w:rPr>
        <w:t>V praxi to znamená, že za rok 2021 sa budú podávať správy vo februári 2022, za rok 2022 sa budú podávať polročné správy v auguste 2022 s údajmi  k júnu 2022 a vo februári 2023 s údajmi platnými k decembru 2022 atď.</w:t>
      </w:r>
    </w:p>
  </w:footnote>
  <w:footnote w:id="3">
    <w:p w:rsidR="00DC11B7" w:rsidRPr="0002197E" w:rsidRDefault="00DC11B7" w:rsidP="0002197E">
      <w:pPr>
        <w:pStyle w:val="Textpoznmkypodiarou"/>
        <w:spacing w:after="120"/>
        <w:rPr>
          <w:rFonts w:ascii="Arial Narrow" w:hAnsi="Arial Narrow"/>
          <w:sz w:val="18"/>
          <w:szCs w:val="18"/>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r w:rsidRPr="0002197E">
        <w:rPr>
          <w:rFonts w:ascii="Arial Narrow" w:hAnsi="Arial Narrow" w:cstheme="minorHAnsi"/>
          <w:sz w:val="18"/>
          <w:szCs w:val="18"/>
        </w:rPr>
        <w:t xml:space="preserve">Napr.: v prípade </w:t>
      </w:r>
      <w:proofErr w:type="spellStart"/>
      <w:r w:rsidRPr="0002197E">
        <w:rPr>
          <w:rFonts w:ascii="Arial Narrow" w:hAnsi="Arial Narrow" w:cstheme="minorHAnsi"/>
          <w:sz w:val="18"/>
          <w:szCs w:val="18"/>
        </w:rPr>
        <w:t>využivania</w:t>
      </w:r>
      <w:proofErr w:type="spellEnd"/>
      <w:r w:rsidRPr="0002197E">
        <w:rPr>
          <w:rFonts w:ascii="Arial Narrow" w:hAnsi="Arial Narrow" w:cstheme="minorHAnsi"/>
          <w:sz w:val="18"/>
          <w:szCs w:val="18"/>
        </w:rPr>
        <w:t xml:space="preserve"> nových vzdelávacích zariadení, ukazovateľ by mal monitorovať, koľko osôb toto zariadenie využíva, a nie ako často ho tieto osoby využívajú.</w:t>
      </w:r>
    </w:p>
  </w:footnote>
  <w:footnote w:id="4">
    <w:p w:rsidR="00DC11B7" w:rsidRPr="0002197E" w:rsidRDefault="00DC11B7" w:rsidP="0002197E">
      <w:pPr>
        <w:spacing w:after="120" w:line="240" w:lineRule="auto"/>
        <w:jc w:val="both"/>
        <w:rPr>
          <w:rFonts w:ascii="Arial Narrow" w:hAnsi="Arial Narrow" w:cstheme="minorHAnsi"/>
          <w:sz w:val="18"/>
          <w:szCs w:val="18"/>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r w:rsidRPr="0002197E">
        <w:rPr>
          <w:rFonts w:ascii="Arial Narrow" w:hAnsi="Arial Narrow" w:cstheme="minorHAnsi"/>
          <w:sz w:val="18"/>
          <w:szCs w:val="18"/>
        </w:rPr>
        <w:t xml:space="preserve">Napr. osoba, ktorá získava podporu z dvoch rôznych programov odbornej prípravy, podporovaných v rámci dvoch rôznych opatrení, pričom cieľom jedného je zlepšiť digitálne zručnosti, a cieľom druhého je vyškolenie za účelom získania zamestnania v </w:t>
      </w:r>
      <w:r w:rsidRPr="002C45A8">
        <w:rPr>
          <w:rFonts w:ascii="Arial Narrow" w:hAnsi="Arial Narrow" w:cstheme="minorHAnsi"/>
          <w:sz w:val="18"/>
          <w:szCs w:val="18"/>
        </w:rPr>
        <w:t>udržateľnom poľnohospodárstve, v tomto prípade tá istá osoba by mala byť reportovaná dvakrát.</w:t>
      </w:r>
    </w:p>
  </w:footnote>
  <w:footnote w:id="5">
    <w:p w:rsidR="00DC11B7" w:rsidRPr="0002197E" w:rsidRDefault="00DC11B7" w:rsidP="0002197E">
      <w:pPr>
        <w:spacing w:after="120" w:line="240" w:lineRule="auto"/>
        <w:jc w:val="both"/>
        <w:rPr>
          <w:rFonts w:ascii="Arial Narrow" w:hAnsi="Arial Narrow" w:cstheme="minorHAnsi"/>
          <w:sz w:val="18"/>
          <w:szCs w:val="18"/>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r w:rsidRPr="0002197E">
        <w:rPr>
          <w:rFonts w:ascii="Arial Narrow" w:hAnsi="Arial Narrow" w:cstheme="minorHAnsi"/>
          <w:sz w:val="18"/>
          <w:szCs w:val="18"/>
        </w:rPr>
        <w:t xml:space="preserve">Napr. účastníci vzdelávacích alebo tréningových aktivít sa započítajú raz, a to aj v prípade, že podpora trvá niekoľko rokov. Naopak, účastník dvoch rôznych vzdelávacích alebo </w:t>
      </w:r>
      <w:proofErr w:type="spellStart"/>
      <w:r w:rsidRPr="0002197E">
        <w:rPr>
          <w:rFonts w:ascii="Arial Narrow" w:hAnsi="Arial Narrow" w:cstheme="minorHAnsi"/>
          <w:sz w:val="18"/>
          <w:szCs w:val="18"/>
        </w:rPr>
        <w:t>trénigových</w:t>
      </w:r>
      <w:proofErr w:type="spellEnd"/>
      <w:r w:rsidRPr="0002197E">
        <w:rPr>
          <w:rFonts w:ascii="Arial Narrow" w:hAnsi="Arial Narrow" w:cstheme="minorHAnsi"/>
          <w:sz w:val="18"/>
          <w:szCs w:val="18"/>
        </w:rPr>
        <w:t xml:space="preserve"> aktivít by mal byť započítaný dvakrát (raz za každú školiacu alebo vzdelávaciu aktivitu).</w:t>
      </w:r>
    </w:p>
    <w:p w:rsidR="00DC11B7" w:rsidRDefault="00DC11B7">
      <w:pPr>
        <w:pStyle w:val="Textpoznmkypodiarou"/>
      </w:pPr>
    </w:p>
  </w:footnote>
  <w:footnote w:id="6">
    <w:p w:rsidR="00DC11B7" w:rsidRPr="0002197E" w:rsidRDefault="00DC11B7" w:rsidP="006A0374">
      <w:pPr>
        <w:rPr>
          <w:rFonts w:ascii="Arial Narrow" w:hAnsi="Arial Narrow"/>
          <w:sz w:val="18"/>
          <w:szCs w:val="18"/>
          <w:lang w:val="en-US"/>
        </w:rPr>
      </w:pPr>
      <w:r w:rsidRPr="0002197E">
        <w:rPr>
          <w:rStyle w:val="Odkaznapoznmkupodiarou"/>
          <w:rFonts w:ascii="Arial Narrow" w:hAnsi="Arial Narrow"/>
          <w:sz w:val="18"/>
          <w:szCs w:val="18"/>
        </w:rPr>
        <w:footnoteRef/>
      </w:r>
      <w:r w:rsidRPr="0002197E">
        <w:rPr>
          <w:rFonts w:ascii="Arial Narrow" w:hAnsi="Arial Narrow"/>
          <w:sz w:val="18"/>
          <w:szCs w:val="18"/>
        </w:rPr>
        <w:t xml:space="preserve"> </w:t>
      </w:r>
      <w:hyperlink r:id="rId1" w:history="1">
        <w:r w:rsidRPr="0002197E">
          <w:rPr>
            <w:rStyle w:val="Hypertextovprepojenie"/>
            <w:rFonts w:ascii="Arial Narrow" w:hAnsi="Arial Narrow"/>
            <w:sz w:val="18"/>
            <w:szCs w:val="18"/>
          </w:rPr>
          <w:t>https://eur-lex.europa.eu/legal-content/EN/TXT/?uri=COM:2021:82:FIN</w:t>
        </w:r>
      </w:hyperlink>
      <w:r w:rsidRPr="0002197E">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1B7" w:rsidRDefault="00DC11B7" w:rsidP="0004568E">
    <w:pPr>
      <w:pStyle w:val="Hlavika"/>
    </w:pPr>
    <w:r w:rsidRPr="00BA4B50">
      <w:rPr>
        <w:noProof/>
        <w:lang w:eastAsia="sk-SK"/>
      </w:rPr>
      <w:drawing>
        <wp:anchor distT="0" distB="0" distL="114300" distR="114300" simplePos="0" relativeHeight="251660288" behindDoc="1" locked="0" layoutInCell="1" allowOverlap="1" wp14:anchorId="1B4F0EFC" wp14:editId="42FEA094">
          <wp:simplePos x="0" y="0"/>
          <wp:positionH relativeFrom="column">
            <wp:posOffset>4966818</wp:posOffset>
          </wp:positionH>
          <wp:positionV relativeFrom="paragraph">
            <wp:posOffset>-212725</wp:posOffset>
          </wp:positionV>
          <wp:extent cx="1099468" cy="4226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59264" behindDoc="0" locked="0" layoutInCell="1" allowOverlap="1" wp14:anchorId="3D632F19" wp14:editId="2112AA0D">
          <wp:simplePos x="0" y="0"/>
          <wp:positionH relativeFrom="column">
            <wp:posOffset>-314325</wp:posOffset>
          </wp:positionH>
          <wp:positionV relativeFrom="paragraph">
            <wp:posOffset>-233959</wp:posOffset>
          </wp:positionV>
          <wp:extent cx="1449070" cy="534035"/>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C11B7" w:rsidRPr="0004568E" w:rsidRDefault="00DC11B7" w:rsidP="0004568E">
    <w:pPr>
      <w:tabs>
        <w:tab w:val="center" w:pos="4536"/>
        <w:tab w:val="left" w:pos="9072"/>
      </w:tabs>
      <w:jc w:val="both"/>
      <w:rPr>
        <w:b/>
        <w:lang w:val="en-GB"/>
      </w:rPr>
    </w:pPr>
    <w:r>
      <w:rPr>
        <w:b/>
        <w:lang w:val="en-GB"/>
      </w:rPr>
      <w:t xml:space="preserve">                              </w:t>
    </w:r>
    <w:r>
      <w:rPr>
        <w:b/>
        <w:lang w:val="en-GB"/>
      </w:rPr>
      <w:tab/>
      <w:t xml:space="preserve">                                                                                                                                </w:t>
    </w:r>
    <w:r>
      <w:rPr>
        <w:rFonts w:ascii="Arial" w:hAnsi="Arial" w:cs="Arial"/>
        <w:color w:val="000080"/>
        <w:sz w:val="19"/>
        <w:szCs w:val="19"/>
        <w:lang w:eastAsia="sk-SK"/>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3.5pt;height:18pt;visibility:visible;mso-wrap-style:square" o:bullet="t">
        <v:imagedata r:id="rId1" o:title=""/>
      </v:shape>
    </w:pict>
  </w:numPicBullet>
  <w:abstractNum w:abstractNumId="0" w15:restartNumberingAfterBreak="0">
    <w:nsid w:val="01595A91"/>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4E7240"/>
    <w:multiLevelType w:val="hybridMultilevel"/>
    <w:tmpl w:val="85A475CE"/>
    <w:lvl w:ilvl="0" w:tplc="15666B9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366054E"/>
    <w:multiLevelType w:val="multilevel"/>
    <w:tmpl w:val="C25CD7C8"/>
    <w:lvl w:ilvl="0">
      <w:start w:val="1"/>
      <w:numFmt w:val="decimal"/>
      <w:lvlText w:val="%1"/>
      <w:lvlJc w:val="left"/>
      <w:pPr>
        <w:ind w:left="432" w:hanging="432"/>
      </w:pPr>
      <w:rPr>
        <w:rFonts w:hint="default"/>
        <w:b/>
        <w:color w:val="5B9BD5" w:themeColor="accent1"/>
      </w:rPr>
    </w:lvl>
    <w:lvl w:ilvl="1">
      <w:start w:val="1"/>
      <w:numFmt w:val="decimal"/>
      <w:lvlText w:val="%1.%2"/>
      <w:lvlJc w:val="left"/>
      <w:pPr>
        <w:ind w:left="576" w:hanging="576"/>
      </w:pPr>
      <w:rPr>
        <w:sz w:val="28"/>
        <w:szCs w:val="28"/>
      </w:rPr>
    </w:lvl>
    <w:lvl w:ilvl="2">
      <w:start w:val="1"/>
      <w:numFmt w:val="decimal"/>
      <w:lvlText w:val="%1.%2.%3"/>
      <w:lvlJc w:val="left"/>
      <w:pPr>
        <w:ind w:left="3272"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0B527F2"/>
    <w:multiLevelType w:val="hybridMultilevel"/>
    <w:tmpl w:val="FD347AF6"/>
    <w:lvl w:ilvl="0" w:tplc="C1A69844">
      <w:start w:val="1"/>
      <w:numFmt w:val="lowerRoman"/>
      <w:lvlText w:val="%1)"/>
      <w:lvlJc w:val="left"/>
      <w:pPr>
        <w:ind w:left="1080" w:hanging="72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567662"/>
    <w:multiLevelType w:val="multilevel"/>
    <w:tmpl w:val="EE8E670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7535FFE"/>
    <w:multiLevelType w:val="hybridMultilevel"/>
    <w:tmpl w:val="2CD2FD48"/>
    <w:lvl w:ilvl="0" w:tplc="0F0C7AD2">
      <w:start w:val="7"/>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27D41913"/>
    <w:multiLevelType w:val="hybridMultilevel"/>
    <w:tmpl w:val="C41AAD76"/>
    <w:lvl w:ilvl="0" w:tplc="686A1A48">
      <w:start w:val="5"/>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2BEF1CE3"/>
    <w:multiLevelType w:val="hybridMultilevel"/>
    <w:tmpl w:val="1AA8EF7E"/>
    <w:lvl w:ilvl="0" w:tplc="E10C257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9B2297C"/>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BB693D"/>
    <w:multiLevelType w:val="hybridMultilevel"/>
    <w:tmpl w:val="225ED576"/>
    <w:lvl w:ilvl="0" w:tplc="C5D2BFA8">
      <w:start w:val="1"/>
      <w:numFmt w:val="bullet"/>
      <w:lvlText w:val=""/>
      <w:lvlPicBulletId w:val="0"/>
      <w:lvlJc w:val="left"/>
      <w:pPr>
        <w:tabs>
          <w:tab w:val="num" w:pos="720"/>
        </w:tabs>
        <w:ind w:left="720" w:hanging="360"/>
      </w:pPr>
      <w:rPr>
        <w:rFonts w:ascii="Symbol" w:hAnsi="Symbol" w:hint="default"/>
      </w:rPr>
    </w:lvl>
    <w:lvl w:ilvl="1" w:tplc="17C40448" w:tentative="1">
      <w:start w:val="1"/>
      <w:numFmt w:val="bullet"/>
      <w:lvlText w:val=""/>
      <w:lvlJc w:val="left"/>
      <w:pPr>
        <w:tabs>
          <w:tab w:val="num" w:pos="1440"/>
        </w:tabs>
        <w:ind w:left="1440" w:hanging="360"/>
      </w:pPr>
      <w:rPr>
        <w:rFonts w:ascii="Symbol" w:hAnsi="Symbol" w:hint="default"/>
      </w:rPr>
    </w:lvl>
    <w:lvl w:ilvl="2" w:tplc="868A01FA" w:tentative="1">
      <w:start w:val="1"/>
      <w:numFmt w:val="bullet"/>
      <w:lvlText w:val=""/>
      <w:lvlJc w:val="left"/>
      <w:pPr>
        <w:tabs>
          <w:tab w:val="num" w:pos="2160"/>
        </w:tabs>
        <w:ind w:left="2160" w:hanging="360"/>
      </w:pPr>
      <w:rPr>
        <w:rFonts w:ascii="Symbol" w:hAnsi="Symbol" w:hint="default"/>
      </w:rPr>
    </w:lvl>
    <w:lvl w:ilvl="3" w:tplc="0B783AD0" w:tentative="1">
      <w:start w:val="1"/>
      <w:numFmt w:val="bullet"/>
      <w:lvlText w:val=""/>
      <w:lvlJc w:val="left"/>
      <w:pPr>
        <w:tabs>
          <w:tab w:val="num" w:pos="2880"/>
        </w:tabs>
        <w:ind w:left="2880" w:hanging="360"/>
      </w:pPr>
      <w:rPr>
        <w:rFonts w:ascii="Symbol" w:hAnsi="Symbol" w:hint="default"/>
      </w:rPr>
    </w:lvl>
    <w:lvl w:ilvl="4" w:tplc="AE34A474" w:tentative="1">
      <w:start w:val="1"/>
      <w:numFmt w:val="bullet"/>
      <w:lvlText w:val=""/>
      <w:lvlJc w:val="left"/>
      <w:pPr>
        <w:tabs>
          <w:tab w:val="num" w:pos="3600"/>
        </w:tabs>
        <w:ind w:left="3600" w:hanging="360"/>
      </w:pPr>
      <w:rPr>
        <w:rFonts w:ascii="Symbol" w:hAnsi="Symbol" w:hint="default"/>
      </w:rPr>
    </w:lvl>
    <w:lvl w:ilvl="5" w:tplc="8E12E2B4" w:tentative="1">
      <w:start w:val="1"/>
      <w:numFmt w:val="bullet"/>
      <w:lvlText w:val=""/>
      <w:lvlJc w:val="left"/>
      <w:pPr>
        <w:tabs>
          <w:tab w:val="num" w:pos="4320"/>
        </w:tabs>
        <w:ind w:left="4320" w:hanging="360"/>
      </w:pPr>
      <w:rPr>
        <w:rFonts w:ascii="Symbol" w:hAnsi="Symbol" w:hint="default"/>
      </w:rPr>
    </w:lvl>
    <w:lvl w:ilvl="6" w:tplc="9BD82D64" w:tentative="1">
      <w:start w:val="1"/>
      <w:numFmt w:val="bullet"/>
      <w:lvlText w:val=""/>
      <w:lvlJc w:val="left"/>
      <w:pPr>
        <w:tabs>
          <w:tab w:val="num" w:pos="5040"/>
        </w:tabs>
        <w:ind w:left="5040" w:hanging="360"/>
      </w:pPr>
      <w:rPr>
        <w:rFonts w:ascii="Symbol" w:hAnsi="Symbol" w:hint="default"/>
      </w:rPr>
    </w:lvl>
    <w:lvl w:ilvl="7" w:tplc="BA444F74" w:tentative="1">
      <w:start w:val="1"/>
      <w:numFmt w:val="bullet"/>
      <w:lvlText w:val=""/>
      <w:lvlJc w:val="left"/>
      <w:pPr>
        <w:tabs>
          <w:tab w:val="num" w:pos="5760"/>
        </w:tabs>
        <w:ind w:left="5760" w:hanging="360"/>
      </w:pPr>
      <w:rPr>
        <w:rFonts w:ascii="Symbol" w:hAnsi="Symbol" w:hint="default"/>
      </w:rPr>
    </w:lvl>
    <w:lvl w:ilvl="8" w:tplc="6D829D0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D0D5810"/>
    <w:multiLevelType w:val="hybridMultilevel"/>
    <w:tmpl w:val="58A291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297587B"/>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7B4170D"/>
    <w:multiLevelType w:val="hybridMultilevel"/>
    <w:tmpl w:val="34B08B06"/>
    <w:lvl w:ilvl="0" w:tplc="73CCEEF0">
      <w:start w:val="1"/>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CE2BC2"/>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0522AB6"/>
    <w:multiLevelType w:val="hybridMultilevel"/>
    <w:tmpl w:val="A7588C22"/>
    <w:lvl w:ilvl="0" w:tplc="2140E25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2E5562A"/>
    <w:multiLevelType w:val="hybridMultilevel"/>
    <w:tmpl w:val="34B08B06"/>
    <w:lvl w:ilvl="0" w:tplc="73CCE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A90208"/>
    <w:multiLevelType w:val="multilevel"/>
    <w:tmpl w:val="18BC4EFC"/>
    <w:name w:val="ListBullet2Numbering"/>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342272"/>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2545DEB"/>
    <w:multiLevelType w:val="hybridMultilevel"/>
    <w:tmpl w:val="F0B2763C"/>
    <w:lvl w:ilvl="0" w:tplc="72AE0298">
      <w:start w:val="1"/>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75DF2F7B"/>
    <w:multiLevelType w:val="hybridMultilevel"/>
    <w:tmpl w:val="4EB4C508"/>
    <w:lvl w:ilvl="0" w:tplc="2EA4B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8030FA"/>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EFF6314"/>
    <w:multiLevelType w:val="hybridMultilevel"/>
    <w:tmpl w:val="0B82E8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7FF07DE0"/>
    <w:multiLevelType w:val="hybridMultilevel"/>
    <w:tmpl w:val="F1D2C766"/>
    <w:lvl w:ilvl="0" w:tplc="15666B9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12"/>
  </w:num>
  <w:num w:numId="5">
    <w:abstractNumId w:val="7"/>
  </w:num>
  <w:num w:numId="6">
    <w:abstractNumId w:val="21"/>
  </w:num>
  <w:num w:numId="7">
    <w:abstractNumId w:val="19"/>
  </w:num>
  <w:num w:numId="8">
    <w:abstractNumId w:val="11"/>
  </w:num>
  <w:num w:numId="9">
    <w:abstractNumId w:val="17"/>
  </w:num>
  <w:num w:numId="10">
    <w:abstractNumId w:val="8"/>
  </w:num>
  <w:num w:numId="11">
    <w:abstractNumId w:val="3"/>
  </w:num>
  <w:num w:numId="12">
    <w:abstractNumId w:val="16"/>
  </w:num>
  <w:num w:numId="13">
    <w:abstractNumId w:val="4"/>
  </w:num>
  <w:num w:numId="14">
    <w:abstractNumId w:val="20"/>
  </w:num>
  <w:num w:numId="15">
    <w:abstractNumId w:val="13"/>
  </w:num>
  <w:num w:numId="16">
    <w:abstractNumId w:val="0"/>
  </w:num>
  <w:num w:numId="17">
    <w:abstractNumId w:val="22"/>
  </w:num>
  <w:num w:numId="18">
    <w:abstractNumId w:val="10"/>
  </w:num>
  <w:num w:numId="19">
    <w:abstractNumId w:val="14"/>
  </w:num>
  <w:num w:numId="20">
    <w:abstractNumId w:val="5"/>
  </w:num>
  <w:num w:numId="21">
    <w:abstractNumId w:val="18"/>
  </w:num>
  <w:num w:numId="22">
    <w:abstractNumId w:val="6"/>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68E"/>
    <w:rsid w:val="00005FF8"/>
    <w:rsid w:val="00011130"/>
    <w:rsid w:val="00012804"/>
    <w:rsid w:val="0001587B"/>
    <w:rsid w:val="0002197E"/>
    <w:rsid w:val="0003334B"/>
    <w:rsid w:val="00034BE0"/>
    <w:rsid w:val="00036706"/>
    <w:rsid w:val="00044104"/>
    <w:rsid w:val="0004568E"/>
    <w:rsid w:val="00047B36"/>
    <w:rsid w:val="00052675"/>
    <w:rsid w:val="00054B33"/>
    <w:rsid w:val="00056A88"/>
    <w:rsid w:val="00057239"/>
    <w:rsid w:val="000673EC"/>
    <w:rsid w:val="00076764"/>
    <w:rsid w:val="00077C84"/>
    <w:rsid w:val="00093EE3"/>
    <w:rsid w:val="00095B41"/>
    <w:rsid w:val="000A4769"/>
    <w:rsid w:val="000B557D"/>
    <w:rsid w:val="000C41BC"/>
    <w:rsid w:val="000D3DA7"/>
    <w:rsid w:val="000E3DF9"/>
    <w:rsid w:val="000E4DA7"/>
    <w:rsid w:val="000F3868"/>
    <w:rsid w:val="0010081E"/>
    <w:rsid w:val="00100EA0"/>
    <w:rsid w:val="00103DD2"/>
    <w:rsid w:val="00103DDB"/>
    <w:rsid w:val="0011288B"/>
    <w:rsid w:val="00117CA5"/>
    <w:rsid w:val="00127F4A"/>
    <w:rsid w:val="00130E66"/>
    <w:rsid w:val="001336EE"/>
    <w:rsid w:val="0013613B"/>
    <w:rsid w:val="00140DBD"/>
    <w:rsid w:val="001607C6"/>
    <w:rsid w:val="0017498D"/>
    <w:rsid w:val="001925AE"/>
    <w:rsid w:val="001A171D"/>
    <w:rsid w:val="001A3CDB"/>
    <w:rsid w:val="001A726B"/>
    <w:rsid w:val="001C11AB"/>
    <w:rsid w:val="001C2B51"/>
    <w:rsid w:val="001C327A"/>
    <w:rsid w:val="001D3889"/>
    <w:rsid w:val="001E153E"/>
    <w:rsid w:val="001E1921"/>
    <w:rsid w:val="001E4E2F"/>
    <w:rsid w:val="001E62B0"/>
    <w:rsid w:val="001F7E4F"/>
    <w:rsid w:val="0020327B"/>
    <w:rsid w:val="0021616F"/>
    <w:rsid w:val="00217943"/>
    <w:rsid w:val="00230986"/>
    <w:rsid w:val="00241BEB"/>
    <w:rsid w:val="00246EB3"/>
    <w:rsid w:val="00247A77"/>
    <w:rsid w:val="0025603D"/>
    <w:rsid w:val="00256A99"/>
    <w:rsid w:val="002648C2"/>
    <w:rsid w:val="00294AE5"/>
    <w:rsid w:val="002A19B9"/>
    <w:rsid w:val="002B742E"/>
    <w:rsid w:val="002B7E2E"/>
    <w:rsid w:val="002C1B7D"/>
    <w:rsid w:val="002C45A8"/>
    <w:rsid w:val="002D0846"/>
    <w:rsid w:val="002E1390"/>
    <w:rsid w:val="002F1BD7"/>
    <w:rsid w:val="002F3F8C"/>
    <w:rsid w:val="00303918"/>
    <w:rsid w:val="00313CE1"/>
    <w:rsid w:val="00317D77"/>
    <w:rsid w:val="0032516E"/>
    <w:rsid w:val="003261C3"/>
    <w:rsid w:val="003303FD"/>
    <w:rsid w:val="00330591"/>
    <w:rsid w:val="00331E83"/>
    <w:rsid w:val="00361AE4"/>
    <w:rsid w:val="003765B3"/>
    <w:rsid w:val="00391AFD"/>
    <w:rsid w:val="003C1D6A"/>
    <w:rsid w:val="003E4CA2"/>
    <w:rsid w:val="003F0D80"/>
    <w:rsid w:val="00403B33"/>
    <w:rsid w:val="00414B0F"/>
    <w:rsid w:val="0041569C"/>
    <w:rsid w:val="00420908"/>
    <w:rsid w:val="00426AAA"/>
    <w:rsid w:val="004336F5"/>
    <w:rsid w:val="004414A7"/>
    <w:rsid w:val="0044182B"/>
    <w:rsid w:val="00446574"/>
    <w:rsid w:val="00463EDD"/>
    <w:rsid w:val="0046753B"/>
    <w:rsid w:val="00470AC3"/>
    <w:rsid w:val="00474926"/>
    <w:rsid w:val="0048094F"/>
    <w:rsid w:val="004933C1"/>
    <w:rsid w:val="004C3014"/>
    <w:rsid w:val="004E0FE5"/>
    <w:rsid w:val="004E1C1A"/>
    <w:rsid w:val="004E2309"/>
    <w:rsid w:val="005177E2"/>
    <w:rsid w:val="00525007"/>
    <w:rsid w:val="0053599A"/>
    <w:rsid w:val="00547E6C"/>
    <w:rsid w:val="00553656"/>
    <w:rsid w:val="0056639C"/>
    <w:rsid w:val="00573104"/>
    <w:rsid w:val="0057353E"/>
    <w:rsid w:val="00584B77"/>
    <w:rsid w:val="00595BD9"/>
    <w:rsid w:val="005968A3"/>
    <w:rsid w:val="005A505E"/>
    <w:rsid w:val="005A7322"/>
    <w:rsid w:val="005A7A35"/>
    <w:rsid w:val="005B311B"/>
    <w:rsid w:val="005B7989"/>
    <w:rsid w:val="005C340B"/>
    <w:rsid w:val="005E0A7A"/>
    <w:rsid w:val="005F0F1C"/>
    <w:rsid w:val="005F7F0E"/>
    <w:rsid w:val="00604626"/>
    <w:rsid w:val="00627B02"/>
    <w:rsid w:val="00633CCA"/>
    <w:rsid w:val="00636C69"/>
    <w:rsid w:val="006423FB"/>
    <w:rsid w:val="00646D5A"/>
    <w:rsid w:val="00670D6E"/>
    <w:rsid w:val="0067210F"/>
    <w:rsid w:val="00676114"/>
    <w:rsid w:val="00676435"/>
    <w:rsid w:val="00676ADE"/>
    <w:rsid w:val="00677F51"/>
    <w:rsid w:val="00685E61"/>
    <w:rsid w:val="00693A1B"/>
    <w:rsid w:val="006A027C"/>
    <w:rsid w:val="006A0374"/>
    <w:rsid w:val="006A7194"/>
    <w:rsid w:val="006B0611"/>
    <w:rsid w:val="006C086D"/>
    <w:rsid w:val="006C3A9E"/>
    <w:rsid w:val="006C5C05"/>
    <w:rsid w:val="006C7226"/>
    <w:rsid w:val="006E6D28"/>
    <w:rsid w:val="006F02B7"/>
    <w:rsid w:val="006F505E"/>
    <w:rsid w:val="006F5FDC"/>
    <w:rsid w:val="0073469E"/>
    <w:rsid w:val="00744EB6"/>
    <w:rsid w:val="00745418"/>
    <w:rsid w:val="00757CD8"/>
    <w:rsid w:val="007803B7"/>
    <w:rsid w:val="00791A2B"/>
    <w:rsid w:val="007B24D5"/>
    <w:rsid w:val="007D25BF"/>
    <w:rsid w:val="007E090D"/>
    <w:rsid w:val="007E6C5A"/>
    <w:rsid w:val="007F2E8D"/>
    <w:rsid w:val="00812F7E"/>
    <w:rsid w:val="00813F69"/>
    <w:rsid w:val="008211E0"/>
    <w:rsid w:val="00832BA7"/>
    <w:rsid w:val="008338DC"/>
    <w:rsid w:val="0084032D"/>
    <w:rsid w:val="00840D99"/>
    <w:rsid w:val="00842D9A"/>
    <w:rsid w:val="00857918"/>
    <w:rsid w:val="00860561"/>
    <w:rsid w:val="00863B97"/>
    <w:rsid w:val="0086722D"/>
    <w:rsid w:val="008753CF"/>
    <w:rsid w:val="0088645A"/>
    <w:rsid w:val="00891F82"/>
    <w:rsid w:val="008A04D1"/>
    <w:rsid w:val="008B0DFF"/>
    <w:rsid w:val="008D2DC2"/>
    <w:rsid w:val="008E1AEB"/>
    <w:rsid w:val="008E3070"/>
    <w:rsid w:val="008E5864"/>
    <w:rsid w:val="008F0A6C"/>
    <w:rsid w:val="008F2E58"/>
    <w:rsid w:val="008F3BDC"/>
    <w:rsid w:val="008F7307"/>
    <w:rsid w:val="00902FF1"/>
    <w:rsid w:val="00910C2C"/>
    <w:rsid w:val="00925F56"/>
    <w:rsid w:val="00950F2E"/>
    <w:rsid w:val="00960B13"/>
    <w:rsid w:val="00962F72"/>
    <w:rsid w:val="00963E9A"/>
    <w:rsid w:val="009651CA"/>
    <w:rsid w:val="00967698"/>
    <w:rsid w:val="0098521F"/>
    <w:rsid w:val="00992A30"/>
    <w:rsid w:val="009A183B"/>
    <w:rsid w:val="009A1C18"/>
    <w:rsid w:val="009A31BD"/>
    <w:rsid w:val="009B0648"/>
    <w:rsid w:val="009B06DC"/>
    <w:rsid w:val="009B7021"/>
    <w:rsid w:val="009C6CE0"/>
    <w:rsid w:val="009F583F"/>
    <w:rsid w:val="009F640A"/>
    <w:rsid w:val="00A01723"/>
    <w:rsid w:val="00A16415"/>
    <w:rsid w:val="00A36EE5"/>
    <w:rsid w:val="00A40774"/>
    <w:rsid w:val="00A45883"/>
    <w:rsid w:val="00A56FC1"/>
    <w:rsid w:val="00A729CA"/>
    <w:rsid w:val="00A8010D"/>
    <w:rsid w:val="00A84093"/>
    <w:rsid w:val="00A85BBA"/>
    <w:rsid w:val="00A93E4F"/>
    <w:rsid w:val="00A96B01"/>
    <w:rsid w:val="00AA54C9"/>
    <w:rsid w:val="00AC37B5"/>
    <w:rsid w:val="00AC49FF"/>
    <w:rsid w:val="00AF4189"/>
    <w:rsid w:val="00AF4B8E"/>
    <w:rsid w:val="00AF5E76"/>
    <w:rsid w:val="00B02290"/>
    <w:rsid w:val="00B11C36"/>
    <w:rsid w:val="00B30442"/>
    <w:rsid w:val="00B331E5"/>
    <w:rsid w:val="00B33541"/>
    <w:rsid w:val="00B3369C"/>
    <w:rsid w:val="00B3390C"/>
    <w:rsid w:val="00B33FC1"/>
    <w:rsid w:val="00B50C81"/>
    <w:rsid w:val="00B51271"/>
    <w:rsid w:val="00B904FE"/>
    <w:rsid w:val="00BA1D85"/>
    <w:rsid w:val="00BA6C66"/>
    <w:rsid w:val="00BB4290"/>
    <w:rsid w:val="00BC0B77"/>
    <w:rsid w:val="00BC2B2F"/>
    <w:rsid w:val="00BD3E67"/>
    <w:rsid w:val="00BD4630"/>
    <w:rsid w:val="00BE2650"/>
    <w:rsid w:val="00BE76DA"/>
    <w:rsid w:val="00BF33ED"/>
    <w:rsid w:val="00BF3B6D"/>
    <w:rsid w:val="00BF4248"/>
    <w:rsid w:val="00C1274E"/>
    <w:rsid w:val="00C13098"/>
    <w:rsid w:val="00C137D0"/>
    <w:rsid w:val="00C26B36"/>
    <w:rsid w:val="00C30007"/>
    <w:rsid w:val="00C37D49"/>
    <w:rsid w:val="00C40E8C"/>
    <w:rsid w:val="00C534EA"/>
    <w:rsid w:val="00C8119D"/>
    <w:rsid w:val="00C81605"/>
    <w:rsid w:val="00C81DEF"/>
    <w:rsid w:val="00C8304E"/>
    <w:rsid w:val="00C84894"/>
    <w:rsid w:val="00C862A4"/>
    <w:rsid w:val="00CB302E"/>
    <w:rsid w:val="00CC3910"/>
    <w:rsid w:val="00CC447F"/>
    <w:rsid w:val="00CD7E29"/>
    <w:rsid w:val="00CE4D05"/>
    <w:rsid w:val="00CF4E93"/>
    <w:rsid w:val="00D00729"/>
    <w:rsid w:val="00D07E13"/>
    <w:rsid w:val="00D13007"/>
    <w:rsid w:val="00D13EA3"/>
    <w:rsid w:val="00D15169"/>
    <w:rsid w:val="00D26300"/>
    <w:rsid w:val="00D33397"/>
    <w:rsid w:val="00D465A7"/>
    <w:rsid w:val="00D717F8"/>
    <w:rsid w:val="00D7384A"/>
    <w:rsid w:val="00D87C89"/>
    <w:rsid w:val="00DA182B"/>
    <w:rsid w:val="00DA2DF7"/>
    <w:rsid w:val="00DC11B7"/>
    <w:rsid w:val="00DE11B8"/>
    <w:rsid w:val="00DF20B5"/>
    <w:rsid w:val="00DF7FEF"/>
    <w:rsid w:val="00E0174F"/>
    <w:rsid w:val="00E24962"/>
    <w:rsid w:val="00E27EF9"/>
    <w:rsid w:val="00E27F25"/>
    <w:rsid w:val="00E37135"/>
    <w:rsid w:val="00E4550C"/>
    <w:rsid w:val="00E516F4"/>
    <w:rsid w:val="00E605E3"/>
    <w:rsid w:val="00E64D33"/>
    <w:rsid w:val="00E94FC1"/>
    <w:rsid w:val="00EA4478"/>
    <w:rsid w:val="00ED4498"/>
    <w:rsid w:val="00EE1636"/>
    <w:rsid w:val="00EE3B38"/>
    <w:rsid w:val="00EE3B3B"/>
    <w:rsid w:val="00EE5606"/>
    <w:rsid w:val="00EE5F01"/>
    <w:rsid w:val="00EE753D"/>
    <w:rsid w:val="00EF49A4"/>
    <w:rsid w:val="00F01CEB"/>
    <w:rsid w:val="00F07F1E"/>
    <w:rsid w:val="00F10951"/>
    <w:rsid w:val="00F120E6"/>
    <w:rsid w:val="00F15183"/>
    <w:rsid w:val="00F20E91"/>
    <w:rsid w:val="00F37BBC"/>
    <w:rsid w:val="00F429F4"/>
    <w:rsid w:val="00F72903"/>
    <w:rsid w:val="00F823F4"/>
    <w:rsid w:val="00FA2F21"/>
    <w:rsid w:val="00FA62B5"/>
    <w:rsid w:val="00FB43E0"/>
    <w:rsid w:val="00FC0150"/>
    <w:rsid w:val="00FC0DD1"/>
    <w:rsid w:val="00FC63CF"/>
    <w:rsid w:val="00FD01AC"/>
    <w:rsid w:val="00FF02C8"/>
    <w:rsid w:val="00FF1B1C"/>
    <w:rsid w:val="00FF1C0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1D4880"/>
  <w15:chartTrackingRefBased/>
  <w15:docId w15:val="{49597E77-652C-4635-9401-9B4DE80B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aliases w:val="H1,ASAPHeading 1,ƒf,Section,Section Heading,Tempo Heading 1,Hoofdkop,Hoofdkop1,Hoofdkop2,Hoofdkop11,Hoofdkop3,Hoofdkop12,Hoofdkop21,Hoofdkop111,Hoofdkop4,Hoofdkop13,Hoofdkop22,Hoofdkop112,Hoofdkop31,Hoofdkop121,Hoofdkop211,Hoofdkop1111"/>
    <w:basedOn w:val="Normlny"/>
    <w:next w:val="Normlny"/>
    <w:link w:val="Nadpis1Char"/>
    <w:uiPriority w:val="99"/>
    <w:qFormat/>
    <w:rsid w:val="00103DD2"/>
    <w:pPr>
      <w:keepNext/>
      <w:keepLines/>
      <w:spacing w:before="360" w:after="120" w:line="240" w:lineRule="auto"/>
      <w:jc w:val="both"/>
      <w:outlineLvl w:val="0"/>
    </w:pPr>
    <w:rPr>
      <w:rFonts w:asciiTheme="majorHAnsi" w:eastAsiaTheme="majorEastAsia" w:hAnsiTheme="majorHAnsi" w:cstheme="majorBidi"/>
      <w:color w:val="2E74B5" w:themeColor="accent1" w:themeShade="BF"/>
      <w:sz w:val="32"/>
      <w:szCs w:val="32"/>
      <w:lang w:eastAsia="sk-SK"/>
    </w:rPr>
  </w:style>
  <w:style w:type="paragraph" w:styleId="Nadpis2">
    <w:name w:val="heading 2"/>
    <w:aliases w:val="H2,ASAPHeading 2,h2,2,sub-sect,section header,sub-sect1,22,sub-sect2,23,sub-sect3,24,sub-sect4,25,sub-sect5,no section,21,(1.1,1.2,1.3 etc),Heaidng 2,l2,Level 2,Subsect heading,Major,Major1,Major2,Major11,Appendix 2,point,Kenmore-Level-2,•H"/>
    <w:basedOn w:val="Normlny"/>
    <w:next w:val="Normlny"/>
    <w:link w:val="Nadpis2Char"/>
    <w:uiPriority w:val="9"/>
    <w:unhideWhenUsed/>
    <w:qFormat/>
    <w:rsid w:val="00103DD2"/>
    <w:pPr>
      <w:keepNext/>
      <w:keepLines/>
      <w:spacing w:before="160" w:after="120" w:line="240" w:lineRule="auto"/>
      <w:jc w:val="both"/>
      <w:outlineLvl w:val="1"/>
    </w:pPr>
    <w:rPr>
      <w:rFonts w:ascii="Arial Narrow" w:eastAsiaTheme="majorEastAsia" w:hAnsi="Arial Narrow" w:cstheme="majorBidi"/>
      <w:color w:val="5B9BD5" w:themeColor="accent1"/>
      <w:sz w:val="26"/>
      <w:szCs w:val="26"/>
      <w:lang w:eastAsia="sk-SK"/>
    </w:rPr>
  </w:style>
  <w:style w:type="paragraph" w:styleId="Nadpis3">
    <w:name w:val="heading 3"/>
    <w:aliases w:val="ASAPHeading 3,h3,l3+toc 3,l3,CT,Sub-section Title,3,Level 3 Head,level 3 no TOC,3rd level,Head 3,subhead,1.,TF-Overskrift 3,Subhead,titre 1.1.1,ITT t3,PA Minor Section,H3,level3,text,sub-sub,h31,31,h32,32,h33,33,h34,34,h35,35,sub-sub1,sub-sub2"/>
    <w:basedOn w:val="Normlny"/>
    <w:next w:val="Normlny"/>
    <w:link w:val="Nadpis3Char"/>
    <w:uiPriority w:val="9"/>
    <w:unhideWhenUsed/>
    <w:qFormat/>
    <w:rsid w:val="00103DD2"/>
    <w:pPr>
      <w:keepNext/>
      <w:keepLines/>
      <w:spacing w:before="160" w:after="120" w:line="240" w:lineRule="auto"/>
      <w:jc w:val="both"/>
      <w:outlineLvl w:val="2"/>
    </w:pPr>
    <w:rPr>
      <w:rFonts w:asciiTheme="majorHAnsi" w:eastAsiaTheme="majorEastAsia" w:hAnsiTheme="majorHAnsi" w:cstheme="majorBidi"/>
      <w:color w:val="1F4D78" w:themeColor="accent1" w:themeShade="7F"/>
      <w:sz w:val="24"/>
      <w:szCs w:val="24"/>
      <w:lang w:eastAsia="sk-SK"/>
    </w:rPr>
  </w:style>
  <w:style w:type="paragraph" w:styleId="Nadpis4">
    <w:name w:val="heading 4"/>
    <w:aliases w:val="ASAPHeading 4,4,14,h4,l4,a.,Map Title,parapoint,¶,H4,l4+toc4,Numbered List,I4,Schedules,Appendices,Req,Req1,Subsection,4 dash,d,U4,T4,Sub-Minor,Level 2 - a,Tempo Heading 4,Head 4,PA Micro Section,Sub sub heading,Head4,niveau 2,list 2,Krav"/>
    <w:basedOn w:val="Normlny"/>
    <w:next w:val="Normlny"/>
    <w:link w:val="Nadpis4Char"/>
    <w:uiPriority w:val="99"/>
    <w:unhideWhenUsed/>
    <w:qFormat/>
    <w:rsid w:val="00103DD2"/>
    <w:pPr>
      <w:keepNext/>
      <w:keepLines/>
      <w:spacing w:before="40" w:after="0" w:line="240" w:lineRule="auto"/>
      <w:outlineLvl w:val="3"/>
    </w:pPr>
    <w:rPr>
      <w:rFonts w:asciiTheme="majorHAnsi" w:eastAsiaTheme="majorEastAsia" w:hAnsiTheme="majorHAnsi" w:cstheme="majorBidi"/>
      <w:i/>
      <w:iCs/>
      <w:color w:val="2E74B5" w:themeColor="accent1" w:themeShade="BF"/>
      <w:sz w:val="24"/>
      <w:szCs w:val="24"/>
      <w:lang w:eastAsia="sk-SK"/>
    </w:rPr>
  </w:style>
  <w:style w:type="paragraph" w:styleId="Nadpis5">
    <w:name w:val="heading 5"/>
    <w:aliases w:val="H5,ASAPHeading 5,Level 3 - i,Roman list,Roman list1,Roman list2,Roman list11,Roman list3,Roman list12,Roman list21,Roman list111,Head 5,T5,a-head line,PA Pico Section,Sub sub sub heading,Roman list4,Roman list5,PIM 5,5,Normal Text"/>
    <w:basedOn w:val="Normlny"/>
    <w:next w:val="Normlny"/>
    <w:link w:val="Nadpis5Char"/>
    <w:autoRedefine/>
    <w:uiPriority w:val="9"/>
    <w:unhideWhenUsed/>
    <w:qFormat/>
    <w:rsid w:val="00103DD2"/>
    <w:pPr>
      <w:spacing w:before="200" w:after="0" w:line="276" w:lineRule="auto"/>
      <w:jc w:val="both"/>
      <w:outlineLvl w:val="4"/>
    </w:pPr>
    <w:rPr>
      <w:rFonts w:ascii="Calibri" w:eastAsia="Times New Roman" w:hAnsi="Calibri" w:cs="Times New Roman"/>
      <w:bCs/>
      <w:caps/>
      <w:color w:val="000000"/>
      <w:spacing w:val="10"/>
      <w:sz w:val="24"/>
      <w:szCs w:val="18"/>
      <w:lang w:eastAsia="sk-SK"/>
    </w:rPr>
  </w:style>
  <w:style w:type="paragraph" w:styleId="Nadpis6">
    <w:name w:val="heading 6"/>
    <w:aliases w:val="H6,ASAPHeading 6,Alpha List"/>
    <w:basedOn w:val="Normlny"/>
    <w:next w:val="Normlny"/>
    <w:link w:val="Nadpis6Char"/>
    <w:uiPriority w:val="9"/>
    <w:unhideWhenUsed/>
    <w:qFormat/>
    <w:rsid w:val="00103DD2"/>
    <w:pPr>
      <w:pBdr>
        <w:bottom w:val="dotted" w:sz="6" w:space="1" w:color="5B9BD5"/>
      </w:pBdr>
      <w:spacing w:before="200" w:after="0" w:line="276" w:lineRule="auto"/>
      <w:jc w:val="both"/>
      <w:outlineLvl w:val="5"/>
    </w:pPr>
    <w:rPr>
      <w:rFonts w:ascii="Calibri" w:eastAsia="Times New Roman" w:hAnsi="Calibri" w:cs="Times New Roman"/>
      <w:bCs/>
      <w:caps/>
      <w:color w:val="2E74B5"/>
      <w:spacing w:val="10"/>
      <w:sz w:val="24"/>
      <w:szCs w:val="18"/>
      <w:lang w:eastAsia="sk-SK"/>
    </w:rPr>
  </w:style>
  <w:style w:type="paragraph" w:styleId="Nadpis7">
    <w:name w:val="heading 7"/>
    <w:aliases w:val="ASAPHeading 7,p"/>
    <w:basedOn w:val="Normlny"/>
    <w:next w:val="Normlny"/>
    <w:link w:val="Nadpis7Char"/>
    <w:uiPriority w:val="9"/>
    <w:unhideWhenUsed/>
    <w:qFormat/>
    <w:rsid w:val="00103DD2"/>
    <w:pPr>
      <w:spacing w:before="200" w:after="0" w:line="276" w:lineRule="auto"/>
      <w:jc w:val="both"/>
      <w:outlineLvl w:val="6"/>
    </w:pPr>
    <w:rPr>
      <w:rFonts w:ascii="Calibri" w:eastAsia="Times New Roman" w:hAnsi="Calibri" w:cs="Times New Roman"/>
      <w:bCs/>
      <w:caps/>
      <w:color w:val="2E74B5"/>
      <w:spacing w:val="10"/>
      <w:sz w:val="24"/>
      <w:szCs w:val="18"/>
      <w:lang w:eastAsia="sk-SK"/>
    </w:rPr>
  </w:style>
  <w:style w:type="paragraph" w:styleId="Nadpis8">
    <w:name w:val="heading 8"/>
    <w:aliases w:val="ASAPHeading 8"/>
    <w:basedOn w:val="Normlny"/>
    <w:next w:val="Normlny"/>
    <w:link w:val="Nadpis8Char"/>
    <w:uiPriority w:val="9"/>
    <w:unhideWhenUsed/>
    <w:qFormat/>
    <w:rsid w:val="00103DD2"/>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sk-SK"/>
    </w:rPr>
  </w:style>
  <w:style w:type="paragraph" w:styleId="Nadpis9">
    <w:name w:val="heading 9"/>
    <w:aliases w:val="ASAPHeading 9,h9,heading9"/>
    <w:basedOn w:val="Normlny"/>
    <w:next w:val="Normlny"/>
    <w:link w:val="Nadpis9Char"/>
    <w:uiPriority w:val="9"/>
    <w:unhideWhenUsed/>
    <w:qFormat/>
    <w:rsid w:val="00103DD2"/>
    <w:pPr>
      <w:spacing w:before="200" w:after="0" w:line="276" w:lineRule="auto"/>
      <w:jc w:val="both"/>
      <w:outlineLvl w:val="8"/>
    </w:pPr>
    <w:rPr>
      <w:rFonts w:ascii="Calibri" w:eastAsia="Times New Roman" w:hAnsi="Calibri" w:cs="Times New Roman"/>
      <w:bCs/>
      <w:i/>
      <w:iCs/>
      <w:caps/>
      <w:spacing w:val="10"/>
      <w:sz w:val="18"/>
      <w:szCs w:val="1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04568E"/>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4568E"/>
  </w:style>
  <w:style w:type="paragraph" w:styleId="Pta">
    <w:name w:val="footer"/>
    <w:basedOn w:val="Normlny"/>
    <w:link w:val="PtaChar"/>
    <w:uiPriority w:val="99"/>
    <w:unhideWhenUsed/>
    <w:rsid w:val="0004568E"/>
    <w:pPr>
      <w:tabs>
        <w:tab w:val="center" w:pos="4536"/>
        <w:tab w:val="right" w:pos="9072"/>
      </w:tabs>
      <w:spacing w:after="0" w:line="240" w:lineRule="auto"/>
    </w:pPr>
  </w:style>
  <w:style w:type="character" w:customStyle="1" w:styleId="PtaChar">
    <w:name w:val="Päta Char"/>
    <w:basedOn w:val="Predvolenpsmoodseku"/>
    <w:link w:val="Pta"/>
    <w:uiPriority w:val="99"/>
    <w:rsid w:val="0004568E"/>
  </w:style>
  <w:style w:type="paragraph" w:styleId="Textpoznmkypodiarou">
    <w:name w:val="footnote text"/>
    <w:basedOn w:val="Normlny"/>
    <w:link w:val="TextpoznmkypodiarouChar"/>
    <w:uiPriority w:val="99"/>
    <w:semiHidden/>
    <w:unhideWhenUsed/>
    <w:rsid w:val="002D084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D0846"/>
    <w:rPr>
      <w:sz w:val="20"/>
      <w:szCs w:val="20"/>
    </w:rPr>
  </w:style>
  <w:style w:type="character" w:styleId="Odkaznapoznmkupodiarou">
    <w:name w:val="footnote reference"/>
    <w:basedOn w:val="Predvolenpsmoodseku"/>
    <w:uiPriority w:val="99"/>
    <w:semiHidden/>
    <w:unhideWhenUsed/>
    <w:rsid w:val="002D0846"/>
    <w:rPr>
      <w:vertAlign w:val="superscript"/>
    </w:rPr>
  </w:style>
  <w:style w:type="character" w:customStyle="1" w:styleId="Nadpis1Char">
    <w:name w:val="Nadpis 1 Char"/>
    <w:aliases w:val="H1 Char,ASAPHeading 1 Char,ƒf Char,Section Char,Section Heading Char,Tempo Heading 1 Char,Hoofdkop Char,Hoofdkop1 Char,Hoofdkop2 Char,Hoofdkop11 Char,Hoofdkop3 Char,Hoofdkop12 Char,Hoofdkop21 Char,Hoofdkop111 Char,Hoofdkop4 Char"/>
    <w:basedOn w:val="Predvolenpsmoodseku"/>
    <w:link w:val="Nadpis1"/>
    <w:uiPriority w:val="99"/>
    <w:rsid w:val="00103DD2"/>
    <w:rPr>
      <w:rFonts w:asciiTheme="majorHAnsi" w:eastAsiaTheme="majorEastAsia" w:hAnsiTheme="majorHAnsi" w:cstheme="majorBidi"/>
      <w:color w:val="2E74B5" w:themeColor="accent1" w:themeShade="BF"/>
      <w:sz w:val="32"/>
      <w:szCs w:val="32"/>
      <w:lang w:eastAsia="sk-SK"/>
    </w:rPr>
  </w:style>
  <w:style w:type="character" w:customStyle="1" w:styleId="Nadpis2Char">
    <w:name w:val="Nadpis 2 Char"/>
    <w:aliases w:val="H2 Char,ASAPHeading 2 Char,h2 Char,2 Char,sub-sect Char,section header Char,sub-sect1 Char,22 Char,sub-sect2 Char,23 Char,sub-sect3 Char,24 Char,sub-sect4 Char,25 Char,sub-sect5 Char,no section Char,21 Char,(1.1 Char,1.2 Char,1.3 etc) Char"/>
    <w:basedOn w:val="Predvolenpsmoodseku"/>
    <w:link w:val="Nadpis2"/>
    <w:uiPriority w:val="9"/>
    <w:rsid w:val="00103DD2"/>
    <w:rPr>
      <w:rFonts w:ascii="Arial Narrow" w:eastAsiaTheme="majorEastAsia" w:hAnsi="Arial Narrow" w:cstheme="majorBidi"/>
      <w:color w:val="5B9BD5" w:themeColor="accent1"/>
      <w:sz w:val="26"/>
      <w:szCs w:val="26"/>
      <w:lang w:eastAsia="sk-SK"/>
    </w:rPr>
  </w:style>
  <w:style w:type="character" w:customStyle="1" w:styleId="Nadpis3Char">
    <w:name w:val="Nadpis 3 Char"/>
    <w:aliases w:val="ASAPHeading 3 Char,h3 Char,l3+toc 3 Char,l3 Char,CT Char,Sub-section Title Char,3 Char,Level 3 Head Char,level 3 no TOC Char,3rd level Char,Head 3 Char,subhead Char,1. Char,TF-Overskrift 3 Char,Subhead Char,titre 1.1.1 Char,ITT t3 Char"/>
    <w:basedOn w:val="Predvolenpsmoodseku"/>
    <w:link w:val="Nadpis3"/>
    <w:uiPriority w:val="9"/>
    <w:rsid w:val="00103DD2"/>
    <w:rPr>
      <w:rFonts w:asciiTheme="majorHAnsi" w:eastAsiaTheme="majorEastAsia" w:hAnsiTheme="majorHAnsi" w:cstheme="majorBidi"/>
      <w:color w:val="1F4D78" w:themeColor="accent1" w:themeShade="7F"/>
      <w:sz w:val="24"/>
      <w:szCs w:val="24"/>
      <w:lang w:eastAsia="sk-SK"/>
    </w:rPr>
  </w:style>
  <w:style w:type="character" w:customStyle="1" w:styleId="Nadpis4Char">
    <w:name w:val="Nadpis 4 Char"/>
    <w:aliases w:val="ASAPHeading 4 Char,4 Char,14 Char,h4 Char,l4 Char,a. Char,Map Title Char,parapoint Char,¶ Char,H4 Char,l4+toc4 Char,Numbered List Char,I4 Char,Schedules Char,Appendices Char,Req Char,Req1 Char,Subsection Char,4 dash Char,d Char,U4 Char"/>
    <w:basedOn w:val="Predvolenpsmoodseku"/>
    <w:link w:val="Nadpis4"/>
    <w:uiPriority w:val="99"/>
    <w:rsid w:val="00103DD2"/>
    <w:rPr>
      <w:rFonts w:asciiTheme="majorHAnsi" w:eastAsiaTheme="majorEastAsia" w:hAnsiTheme="majorHAnsi" w:cstheme="majorBidi"/>
      <w:i/>
      <w:iCs/>
      <w:color w:val="2E74B5" w:themeColor="accent1" w:themeShade="BF"/>
      <w:sz w:val="24"/>
      <w:szCs w:val="24"/>
      <w:lang w:eastAsia="sk-SK"/>
    </w:rPr>
  </w:style>
  <w:style w:type="character" w:customStyle="1" w:styleId="Nadpis5Char">
    <w:name w:val="Nadpis 5 Char"/>
    <w:aliases w:val="H5 Char,ASAPHeading 5 Char,Level 3 - i Char,Roman list Char,Roman list1 Char,Roman list2 Char,Roman list11 Char,Roman list3 Char,Roman list12 Char,Roman list21 Char,Roman list111 Char,Head 5 Char,T5 Char,a-head line Char,Roman list4 Char"/>
    <w:basedOn w:val="Predvolenpsmoodseku"/>
    <w:link w:val="Nadpis5"/>
    <w:uiPriority w:val="9"/>
    <w:rsid w:val="00103DD2"/>
    <w:rPr>
      <w:rFonts w:ascii="Calibri" w:eastAsia="Times New Roman" w:hAnsi="Calibri" w:cs="Times New Roman"/>
      <w:bCs/>
      <w:caps/>
      <w:color w:val="000000"/>
      <w:spacing w:val="10"/>
      <w:sz w:val="24"/>
      <w:szCs w:val="18"/>
      <w:lang w:eastAsia="sk-SK"/>
    </w:rPr>
  </w:style>
  <w:style w:type="character" w:customStyle="1" w:styleId="Nadpis6Char">
    <w:name w:val="Nadpis 6 Char"/>
    <w:aliases w:val="H6 Char,ASAPHeading 6 Char,Alpha List Char"/>
    <w:basedOn w:val="Predvolenpsmoodseku"/>
    <w:link w:val="Nadpis6"/>
    <w:uiPriority w:val="9"/>
    <w:rsid w:val="00103DD2"/>
    <w:rPr>
      <w:rFonts w:ascii="Calibri" w:eastAsia="Times New Roman" w:hAnsi="Calibri" w:cs="Times New Roman"/>
      <w:bCs/>
      <w:caps/>
      <w:color w:val="2E74B5"/>
      <w:spacing w:val="10"/>
      <w:sz w:val="24"/>
      <w:szCs w:val="18"/>
      <w:lang w:eastAsia="sk-SK"/>
    </w:rPr>
  </w:style>
  <w:style w:type="character" w:customStyle="1" w:styleId="Nadpis7Char">
    <w:name w:val="Nadpis 7 Char"/>
    <w:aliases w:val="ASAPHeading 7 Char,p Char"/>
    <w:basedOn w:val="Predvolenpsmoodseku"/>
    <w:link w:val="Nadpis7"/>
    <w:uiPriority w:val="9"/>
    <w:rsid w:val="00103DD2"/>
    <w:rPr>
      <w:rFonts w:ascii="Calibri" w:eastAsia="Times New Roman" w:hAnsi="Calibri" w:cs="Times New Roman"/>
      <w:bCs/>
      <w:caps/>
      <w:color w:val="2E74B5"/>
      <w:spacing w:val="10"/>
      <w:sz w:val="24"/>
      <w:szCs w:val="18"/>
      <w:lang w:eastAsia="sk-SK"/>
    </w:rPr>
  </w:style>
  <w:style w:type="character" w:customStyle="1" w:styleId="Nadpis8Char">
    <w:name w:val="Nadpis 8 Char"/>
    <w:aliases w:val="ASAPHeading 8 Char"/>
    <w:basedOn w:val="Predvolenpsmoodseku"/>
    <w:link w:val="Nadpis8"/>
    <w:uiPriority w:val="9"/>
    <w:rsid w:val="00103DD2"/>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aliases w:val="ASAPHeading 9 Char,h9 Char,heading9 Char"/>
    <w:basedOn w:val="Predvolenpsmoodseku"/>
    <w:link w:val="Nadpis9"/>
    <w:uiPriority w:val="9"/>
    <w:rsid w:val="00103DD2"/>
    <w:rPr>
      <w:rFonts w:ascii="Calibri" w:eastAsia="Times New Roman" w:hAnsi="Calibri" w:cs="Times New Roman"/>
      <w:bCs/>
      <w:i/>
      <w:iCs/>
      <w:caps/>
      <w:spacing w:val="10"/>
      <w:sz w:val="18"/>
      <w:szCs w:val="18"/>
      <w:lang w:eastAsia="sk-SK"/>
    </w:rPr>
  </w:style>
  <w:style w:type="paragraph" w:customStyle="1" w:styleId="h2">
    <w:name w:val="h 2"/>
    <w:basedOn w:val="Nadpis2"/>
    <w:link w:val="h2Char"/>
    <w:qFormat/>
    <w:rsid w:val="00103DD2"/>
    <w:rPr>
      <w:b/>
      <w:sz w:val="28"/>
      <w:szCs w:val="28"/>
      <w:lang w:eastAsia="en-US"/>
    </w:rPr>
  </w:style>
  <w:style w:type="character" w:customStyle="1" w:styleId="h2Char">
    <w:name w:val="h 2 Char"/>
    <w:basedOn w:val="Predvolenpsmoodseku"/>
    <w:link w:val="h2"/>
    <w:rsid w:val="00103DD2"/>
    <w:rPr>
      <w:rFonts w:ascii="Arial Narrow" w:eastAsiaTheme="majorEastAsia" w:hAnsi="Arial Narrow" w:cstheme="majorBidi"/>
      <w:b/>
      <w:color w:val="5B9BD5" w:themeColor="accent1"/>
      <w:sz w:val="28"/>
      <w:szCs w:val="28"/>
    </w:rPr>
  </w:style>
  <w:style w:type="paragraph" w:customStyle="1" w:styleId="Default">
    <w:name w:val="Default"/>
    <w:rsid w:val="00910C2C"/>
    <w:pPr>
      <w:autoSpaceDE w:val="0"/>
      <w:autoSpaceDN w:val="0"/>
      <w:adjustRightInd w:val="0"/>
      <w:spacing w:after="0" w:line="240" w:lineRule="auto"/>
    </w:pPr>
    <w:rPr>
      <w:rFonts w:ascii="EUAlbertina" w:hAnsi="EUAlbertina" w:cs="EUAlbertina"/>
      <w:color w:val="000000"/>
      <w:sz w:val="24"/>
      <w:szCs w:val="24"/>
    </w:rPr>
  </w:style>
  <w:style w:type="paragraph" w:styleId="Odsekzoznamu">
    <w:name w:val="List Paragraph"/>
    <w:basedOn w:val="Normlny"/>
    <w:uiPriority w:val="34"/>
    <w:qFormat/>
    <w:rsid w:val="00910C2C"/>
    <w:pPr>
      <w:ind w:left="720"/>
      <w:contextualSpacing/>
    </w:pPr>
  </w:style>
  <w:style w:type="table" w:styleId="Mriekatabuky">
    <w:name w:val="Table Grid"/>
    <w:basedOn w:val="Normlnatabuka"/>
    <w:uiPriority w:val="39"/>
    <w:rsid w:val="00910C2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unhideWhenUsed/>
    <w:rsid w:val="006A0374"/>
    <w:rPr>
      <w:color w:val="0563C1" w:themeColor="hyperlink"/>
      <w:u w:val="single"/>
    </w:rPr>
  </w:style>
  <w:style w:type="character" w:styleId="PouitHypertextovPrepojenie">
    <w:name w:val="FollowedHyperlink"/>
    <w:basedOn w:val="Predvolenpsmoodseku"/>
    <w:uiPriority w:val="99"/>
    <w:semiHidden/>
    <w:unhideWhenUsed/>
    <w:rsid w:val="00B3390C"/>
    <w:rPr>
      <w:color w:val="954F72" w:themeColor="followedHyperlink"/>
      <w:u w:val="single"/>
    </w:rPr>
  </w:style>
  <w:style w:type="paragraph" w:styleId="PredformtovanHTML">
    <w:name w:val="HTML Preformatted"/>
    <w:basedOn w:val="Normlny"/>
    <w:link w:val="PredformtovanHTMLChar"/>
    <w:uiPriority w:val="99"/>
    <w:unhideWhenUsed/>
    <w:rsid w:val="00ED4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rsid w:val="00ED4498"/>
    <w:rPr>
      <w:rFonts w:ascii="Courier New" w:eastAsia="Times New Roman" w:hAnsi="Courier New" w:cs="Courier New"/>
      <w:sz w:val="20"/>
      <w:szCs w:val="20"/>
      <w:lang w:eastAsia="sk-SK"/>
    </w:rPr>
  </w:style>
  <w:style w:type="character" w:customStyle="1" w:styleId="y2iqfc">
    <w:name w:val="y2iqfc"/>
    <w:basedOn w:val="Predvolenpsmoodseku"/>
    <w:rsid w:val="00ED4498"/>
  </w:style>
  <w:style w:type="paragraph" w:styleId="Textbubliny">
    <w:name w:val="Balloon Text"/>
    <w:basedOn w:val="Normlny"/>
    <w:link w:val="TextbublinyChar"/>
    <w:uiPriority w:val="99"/>
    <w:semiHidden/>
    <w:unhideWhenUsed/>
    <w:rsid w:val="0046753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6753B"/>
    <w:rPr>
      <w:rFonts w:ascii="Segoe UI" w:hAnsi="Segoe UI" w:cs="Segoe UI"/>
      <w:sz w:val="18"/>
      <w:szCs w:val="18"/>
    </w:rPr>
  </w:style>
  <w:style w:type="character" w:styleId="Odkaznakomentr">
    <w:name w:val="annotation reference"/>
    <w:basedOn w:val="Predvolenpsmoodseku"/>
    <w:uiPriority w:val="99"/>
    <w:semiHidden/>
    <w:unhideWhenUsed/>
    <w:rsid w:val="00054B33"/>
    <w:rPr>
      <w:sz w:val="16"/>
      <w:szCs w:val="16"/>
    </w:rPr>
  </w:style>
  <w:style w:type="paragraph" w:styleId="Textkomentra">
    <w:name w:val="annotation text"/>
    <w:basedOn w:val="Normlny"/>
    <w:link w:val="TextkomentraChar"/>
    <w:uiPriority w:val="99"/>
    <w:unhideWhenUsed/>
    <w:rsid w:val="00054B33"/>
    <w:pPr>
      <w:spacing w:line="240" w:lineRule="auto"/>
    </w:pPr>
    <w:rPr>
      <w:sz w:val="20"/>
      <w:szCs w:val="20"/>
    </w:rPr>
  </w:style>
  <w:style w:type="character" w:customStyle="1" w:styleId="TextkomentraChar">
    <w:name w:val="Text komentára Char"/>
    <w:basedOn w:val="Predvolenpsmoodseku"/>
    <w:link w:val="Textkomentra"/>
    <w:uiPriority w:val="99"/>
    <w:rsid w:val="00054B33"/>
    <w:rPr>
      <w:sz w:val="20"/>
      <w:szCs w:val="20"/>
    </w:rPr>
  </w:style>
  <w:style w:type="paragraph" w:styleId="Predmetkomentra">
    <w:name w:val="annotation subject"/>
    <w:basedOn w:val="Textkomentra"/>
    <w:next w:val="Textkomentra"/>
    <w:link w:val="PredmetkomentraChar"/>
    <w:uiPriority w:val="99"/>
    <w:semiHidden/>
    <w:unhideWhenUsed/>
    <w:rsid w:val="00054B33"/>
    <w:rPr>
      <w:b/>
      <w:bCs/>
    </w:rPr>
  </w:style>
  <w:style w:type="character" w:customStyle="1" w:styleId="PredmetkomentraChar">
    <w:name w:val="Predmet komentára Char"/>
    <w:basedOn w:val="TextkomentraChar"/>
    <w:link w:val="Predmetkomentra"/>
    <w:uiPriority w:val="99"/>
    <w:semiHidden/>
    <w:rsid w:val="00054B33"/>
    <w:rPr>
      <w:b/>
      <w:bCs/>
      <w:sz w:val="20"/>
      <w:szCs w:val="20"/>
    </w:rPr>
  </w:style>
  <w:style w:type="paragraph" w:styleId="Obsah2">
    <w:name w:val="toc 2"/>
    <w:basedOn w:val="Normlny"/>
    <w:next w:val="Normlny"/>
    <w:autoRedefine/>
    <w:uiPriority w:val="39"/>
    <w:unhideWhenUsed/>
    <w:rsid w:val="00EE753D"/>
    <w:pPr>
      <w:spacing w:after="100"/>
      <w:ind w:left="220"/>
    </w:pPr>
  </w:style>
  <w:style w:type="paragraph" w:styleId="Obsah1">
    <w:name w:val="toc 1"/>
    <w:basedOn w:val="Normlny"/>
    <w:next w:val="Normlny"/>
    <w:autoRedefine/>
    <w:uiPriority w:val="39"/>
    <w:unhideWhenUsed/>
    <w:rsid w:val="00EE753D"/>
    <w:pPr>
      <w:spacing w:after="100"/>
    </w:pPr>
  </w:style>
  <w:style w:type="paragraph" w:styleId="Revzia">
    <w:name w:val="Revision"/>
    <w:hidden/>
    <w:uiPriority w:val="99"/>
    <w:semiHidden/>
    <w:rsid w:val="005735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586906">
      <w:bodyDiv w:val="1"/>
      <w:marLeft w:val="0"/>
      <w:marRight w:val="0"/>
      <w:marTop w:val="0"/>
      <w:marBottom w:val="0"/>
      <w:divBdr>
        <w:top w:val="none" w:sz="0" w:space="0" w:color="auto"/>
        <w:left w:val="none" w:sz="0" w:space="0" w:color="auto"/>
        <w:bottom w:val="none" w:sz="0" w:space="0" w:color="auto"/>
        <w:right w:val="none" w:sz="0" w:space="0" w:color="auto"/>
      </w:divBdr>
    </w:div>
    <w:div w:id="775293716">
      <w:bodyDiv w:val="1"/>
      <w:marLeft w:val="0"/>
      <w:marRight w:val="0"/>
      <w:marTop w:val="0"/>
      <w:marBottom w:val="0"/>
      <w:divBdr>
        <w:top w:val="none" w:sz="0" w:space="0" w:color="auto"/>
        <w:left w:val="none" w:sz="0" w:space="0" w:color="auto"/>
        <w:bottom w:val="none" w:sz="0" w:space="0" w:color="auto"/>
        <w:right w:val="none" w:sz="0" w:space="0" w:color="auto"/>
      </w:divBdr>
    </w:div>
    <w:div w:id="1489861468">
      <w:bodyDiv w:val="1"/>
      <w:marLeft w:val="0"/>
      <w:marRight w:val="0"/>
      <w:marTop w:val="0"/>
      <w:marBottom w:val="0"/>
      <w:divBdr>
        <w:top w:val="none" w:sz="0" w:space="0" w:color="auto"/>
        <w:left w:val="none" w:sz="0" w:space="0" w:color="auto"/>
        <w:bottom w:val="none" w:sz="0" w:space="0" w:color="auto"/>
        <w:right w:val="none" w:sz="0" w:space="0" w:color="auto"/>
      </w:divBdr>
    </w:div>
    <w:div w:id="1605261932">
      <w:bodyDiv w:val="1"/>
      <w:marLeft w:val="0"/>
      <w:marRight w:val="0"/>
      <w:marTop w:val="0"/>
      <w:marBottom w:val="0"/>
      <w:divBdr>
        <w:top w:val="none" w:sz="0" w:space="0" w:color="auto"/>
        <w:left w:val="none" w:sz="0" w:space="0" w:color="auto"/>
        <w:bottom w:val="none" w:sz="0" w:space="0" w:color="auto"/>
        <w:right w:val="none" w:sz="0" w:space="0" w:color="auto"/>
      </w:divBdr>
    </w:div>
    <w:div w:id="1610309822">
      <w:bodyDiv w:val="1"/>
      <w:marLeft w:val="0"/>
      <w:marRight w:val="0"/>
      <w:marTop w:val="0"/>
      <w:marBottom w:val="0"/>
      <w:divBdr>
        <w:top w:val="none" w:sz="0" w:space="0" w:color="auto"/>
        <w:left w:val="none" w:sz="0" w:space="0" w:color="auto"/>
        <w:bottom w:val="none" w:sz="0" w:space="0" w:color="auto"/>
        <w:right w:val="none" w:sz="0" w:space="0" w:color="auto"/>
      </w:divBdr>
    </w:div>
    <w:div w:id="1689020247">
      <w:bodyDiv w:val="1"/>
      <w:marLeft w:val="0"/>
      <w:marRight w:val="0"/>
      <w:marTop w:val="0"/>
      <w:marBottom w:val="0"/>
      <w:divBdr>
        <w:top w:val="none" w:sz="0" w:space="0" w:color="auto"/>
        <w:left w:val="none" w:sz="0" w:space="0" w:color="auto"/>
        <w:bottom w:val="none" w:sz="0" w:space="0" w:color="auto"/>
        <w:right w:val="none" w:sz="0" w:space="0" w:color="auto"/>
      </w:divBdr>
    </w:div>
    <w:div w:id="1915776110">
      <w:bodyDiv w:val="1"/>
      <w:marLeft w:val="0"/>
      <w:marRight w:val="0"/>
      <w:marTop w:val="0"/>
      <w:marBottom w:val="0"/>
      <w:divBdr>
        <w:top w:val="none" w:sz="0" w:space="0" w:color="auto"/>
        <w:left w:val="none" w:sz="0" w:space="0" w:color="auto"/>
        <w:bottom w:val="none" w:sz="0" w:space="0" w:color="auto"/>
        <w:right w:val="none" w:sz="0" w:space="0" w:color="auto"/>
      </w:divBdr>
    </w:div>
    <w:div w:id="2017731482">
      <w:bodyDiv w:val="1"/>
      <w:marLeft w:val="0"/>
      <w:marRight w:val="0"/>
      <w:marTop w:val="0"/>
      <w:marBottom w:val="0"/>
      <w:divBdr>
        <w:top w:val="none" w:sz="0" w:space="0" w:color="auto"/>
        <w:left w:val="none" w:sz="0" w:space="0" w:color="auto"/>
        <w:bottom w:val="none" w:sz="0" w:space="0" w:color="auto"/>
        <w:right w:val="none" w:sz="0" w:space="0" w:color="auto"/>
      </w:divBdr>
    </w:div>
    <w:div w:id="2120180768">
      <w:bodyDiv w:val="1"/>
      <w:marLeft w:val="0"/>
      <w:marRight w:val="0"/>
      <w:marTop w:val="0"/>
      <w:marBottom w:val="0"/>
      <w:divBdr>
        <w:top w:val="none" w:sz="0" w:space="0" w:color="auto"/>
        <w:left w:val="none" w:sz="0" w:space="0" w:color="auto"/>
        <w:bottom w:val="none" w:sz="0" w:space="0" w:color="auto"/>
        <w:right w:val="none" w:sz="0" w:space="0" w:color="auto"/>
      </w:divBdr>
    </w:div>
    <w:div w:id="2136093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30.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0.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EN/TXT/?uri=COM:2021:82:FI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E3970-8FFF-4852-91CE-8DBB9406B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17</Pages>
  <Words>6020</Words>
  <Characters>34318</Characters>
  <Application>Microsoft Office Word</Application>
  <DocSecurity>0</DocSecurity>
  <Lines>285</Lines>
  <Paragraphs>80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Hrabčáková Miruška</dc:creator>
  <cp:keywords/>
  <dc:description/>
  <cp:lastModifiedBy>Hrabčáková Miruška</cp:lastModifiedBy>
  <cp:revision>5</cp:revision>
  <cp:lastPrinted>2022-04-13T09:47:00Z</cp:lastPrinted>
  <dcterms:created xsi:type="dcterms:W3CDTF">2022-04-13T09:45:00Z</dcterms:created>
  <dcterms:modified xsi:type="dcterms:W3CDTF">2022-09-09T07:31:00Z</dcterms:modified>
</cp:coreProperties>
</file>