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6D" w:rsidRPr="004553A0" w:rsidRDefault="00DA276D" w:rsidP="00DA276D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bookmarkEnd w:id="0"/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Inštrukcia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k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plánovaniu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výdavkov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pre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implementáciu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Plánu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obnovy</w:t>
      </w:r>
      <w:proofErr w:type="spellEnd"/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611BB3" w:rsidRPr="004553A0" w:rsidRDefault="00611BB3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Vykonávateľ plánuj</w:t>
      </w:r>
      <w:r w:rsidR="00991FC2" w:rsidRPr="004553A0">
        <w:rPr>
          <w:rFonts w:ascii="Arial Narrow" w:hAnsi="Arial Narrow" w:cs="Arial"/>
          <w:sz w:val="22"/>
          <w:szCs w:val="22"/>
        </w:rPr>
        <w:t>e</w:t>
      </w:r>
      <w:r w:rsidRPr="004553A0">
        <w:rPr>
          <w:rFonts w:ascii="Arial Narrow" w:hAnsi="Arial Narrow" w:cs="Arial"/>
          <w:sz w:val="22"/>
          <w:szCs w:val="22"/>
        </w:rPr>
        <w:t xml:space="preserve"> výdavky na implementáciu Plánu obnovy vždy na budúci rozpočtový rok a</w:t>
      </w:r>
      <w:r w:rsidR="00991FC2" w:rsidRPr="004553A0">
        <w:rPr>
          <w:rFonts w:ascii="Arial Narrow" w:hAnsi="Arial Narrow" w:cs="Arial"/>
          <w:sz w:val="22"/>
          <w:szCs w:val="22"/>
        </w:rPr>
        <w:t xml:space="preserve"> na </w:t>
      </w:r>
      <w:r w:rsidRPr="004553A0">
        <w:rPr>
          <w:rFonts w:ascii="Arial Narrow" w:hAnsi="Arial Narrow" w:cs="Arial"/>
          <w:sz w:val="22"/>
          <w:szCs w:val="22"/>
        </w:rPr>
        <w:t xml:space="preserve">2 ďalšie nasledujúce rozpočtové roky. 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Vykonávateľ plánované výdavky pre implementáciu Plánu obnovy uvádza spoločne v jednom prehľade za všetky komponenty a v nich zahrnuté investície a reformy v zodpovednosti daného vykonávateľa. Plánované výdavky sa uvádzajú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v jednotlivých záložkách súboru vo formáte 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excel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 osobitne podľa ich zdrojového krytia.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689"/>
        <w:gridCol w:w="3402"/>
        <w:gridCol w:w="2976"/>
      </w:tblGrid>
      <w:tr w:rsidR="00CC1BCB" w:rsidRPr="004553A0" w:rsidTr="00DD55BC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b/>
                <w:sz w:val="22"/>
                <w:szCs w:val="22"/>
              </w:rPr>
              <w:t>Názov zdroja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b/>
                <w:sz w:val="22"/>
                <w:szCs w:val="22"/>
              </w:rPr>
              <w:t>Názov záložky v prílohe č. 1 tejto inštrukcie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b/>
                <w:sz w:val="22"/>
                <w:szCs w:val="22"/>
              </w:rPr>
              <w:t>Typ plánovaných výdavkov</w:t>
            </w:r>
          </w:p>
        </w:tc>
      </w:tr>
      <w:tr w:rsidR="00CC1BCB" w:rsidRPr="004553A0" w:rsidTr="00DD55BC">
        <w:tc>
          <w:tcPr>
            <w:tcW w:w="2689" w:type="dxa"/>
            <w:vMerge w:val="restart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>Plán obnovy a odolnosti</w:t>
            </w:r>
          </w:p>
        </w:tc>
        <w:tc>
          <w:tcPr>
            <w:tcW w:w="3402" w:type="dxa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 xml:space="preserve">implementačná </w:t>
            </w:r>
            <w:proofErr w:type="spellStart"/>
            <w:r w:rsidRPr="004553A0">
              <w:rPr>
                <w:rFonts w:ascii="Arial Narrow" w:hAnsi="Arial Narrow" w:cs="Arial"/>
                <w:sz w:val="22"/>
                <w:szCs w:val="22"/>
              </w:rPr>
              <w:t>jednotka_POO</w:t>
            </w:r>
            <w:proofErr w:type="spellEnd"/>
          </w:p>
        </w:tc>
        <w:tc>
          <w:tcPr>
            <w:tcW w:w="2976" w:type="dxa"/>
            <w:vAlign w:val="center"/>
          </w:tcPr>
          <w:p w:rsidR="00CC1BCB" w:rsidRPr="004553A0" w:rsidRDefault="00CC1BCB" w:rsidP="00E25B7D">
            <w:pPr>
              <w:keepNext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>výdavky spojené s činnosťou implementačnej jednotky bez DPH</w:t>
            </w:r>
          </w:p>
        </w:tc>
      </w:tr>
      <w:tr w:rsidR="00CC1BCB" w:rsidRPr="004553A0" w:rsidTr="00DD55BC">
        <w:tc>
          <w:tcPr>
            <w:tcW w:w="2689" w:type="dxa"/>
            <w:vMerge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553A0">
              <w:rPr>
                <w:rFonts w:ascii="Arial Narrow" w:hAnsi="Arial Narrow" w:cs="Arial"/>
                <w:sz w:val="22"/>
                <w:szCs w:val="22"/>
              </w:rPr>
              <w:t>investície_reformy_POO</w:t>
            </w:r>
            <w:proofErr w:type="spellEnd"/>
          </w:p>
        </w:tc>
        <w:tc>
          <w:tcPr>
            <w:tcW w:w="2976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>výdavky priamo súvisiace s implementáciou investície a reformy bez DPH</w:t>
            </w:r>
          </w:p>
        </w:tc>
      </w:tr>
      <w:tr w:rsidR="00CC1BCB" w:rsidRPr="004553A0" w:rsidTr="00DD55BC">
        <w:tc>
          <w:tcPr>
            <w:tcW w:w="2689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 xml:space="preserve">Plán obnovy a odolnosti – prostriedky na úhradu DPH                            </w:t>
            </w:r>
          </w:p>
        </w:tc>
        <w:tc>
          <w:tcPr>
            <w:tcW w:w="3402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553A0">
              <w:rPr>
                <w:rFonts w:ascii="Arial Narrow" w:hAnsi="Arial Narrow" w:cs="Arial"/>
                <w:sz w:val="22"/>
                <w:szCs w:val="22"/>
              </w:rPr>
              <w:t>výdavky_na_DPH_k_POO</w:t>
            </w:r>
            <w:proofErr w:type="spellEnd"/>
          </w:p>
        </w:tc>
        <w:tc>
          <w:tcPr>
            <w:tcW w:w="2976" w:type="dxa"/>
            <w:vAlign w:val="center"/>
          </w:tcPr>
          <w:p w:rsidR="00CC1BCB" w:rsidRPr="004553A0" w:rsidRDefault="00CC1BCB" w:rsidP="00BD463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>DPH súvisiaca s výdavkami financovanými z kódu zdroja Plán obnovy a odolnosti</w:t>
            </w:r>
          </w:p>
        </w:tc>
      </w:tr>
      <w:tr w:rsidR="00CC1BCB" w:rsidRPr="004553A0" w:rsidTr="00DD55BC">
        <w:tc>
          <w:tcPr>
            <w:tcW w:w="2689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 xml:space="preserve">Rozpočtové prostriedky kapitoly </w:t>
            </w:r>
          </w:p>
        </w:tc>
        <w:tc>
          <w:tcPr>
            <w:tcW w:w="3402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4553A0">
              <w:rPr>
                <w:rFonts w:ascii="Arial Narrow" w:hAnsi="Arial Narrow" w:cs="Arial"/>
                <w:sz w:val="22"/>
                <w:szCs w:val="22"/>
              </w:rPr>
              <w:t>výdav_nad_rámec_POO_vrátane_DPH</w:t>
            </w:r>
            <w:proofErr w:type="spellEnd"/>
          </w:p>
        </w:tc>
        <w:tc>
          <w:tcPr>
            <w:tcW w:w="2976" w:type="dxa"/>
            <w:vAlign w:val="center"/>
          </w:tcPr>
          <w:p w:rsidR="00CC1BCB" w:rsidRPr="004553A0" w:rsidRDefault="00CC1BCB" w:rsidP="00E25B7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553A0">
              <w:rPr>
                <w:rFonts w:ascii="Arial Narrow" w:hAnsi="Arial Narrow" w:cs="Arial"/>
                <w:sz w:val="22"/>
                <w:szCs w:val="22"/>
              </w:rPr>
              <w:t xml:space="preserve">výdavky nad rámec POO vrátane DPH  </w:t>
            </w:r>
          </w:p>
        </w:tc>
      </w:tr>
    </w:tbl>
    <w:p w:rsidR="00DA276D" w:rsidRPr="004553A0" w:rsidRDefault="00DA276D" w:rsidP="00DA276D">
      <w:pPr>
        <w:spacing w:after="160" w:line="259" w:lineRule="auto"/>
        <w:rPr>
          <w:rFonts w:ascii="Arial Narrow" w:hAnsi="Arial Narrow" w:cs="Arial"/>
          <w:sz w:val="22"/>
          <w:szCs w:val="22"/>
        </w:rPr>
      </w:pP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V jednotlivých záložkách prehľadu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vykonávateľ uvádza výdavky: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b/>
          <w:sz w:val="22"/>
        </w:rPr>
      </w:pPr>
      <w:r w:rsidRPr="004553A0">
        <w:rPr>
          <w:rFonts w:ascii="Arial Narrow" w:hAnsi="Arial Narrow" w:cs="Arial"/>
          <w:b/>
          <w:sz w:val="22"/>
        </w:rPr>
        <w:t>spojené s činnosťou implementačnej jednotky bez DPH</w:t>
      </w:r>
    </w:p>
    <w:p w:rsidR="00DA276D" w:rsidRPr="004553A0" w:rsidRDefault="00DA276D" w:rsidP="00DA276D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Suma výdavkov na implementačnú jednotku, t. j. suma vyčlenená na administratívne kapacity vykonávateľa (prípadne aj sprostredkovateľa), môže byť určená v</w:t>
      </w:r>
      <w:r w:rsidR="003E794A" w:rsidRPr="004553A0">
        <w:rPr>
          <w:rFonts w:ascii="Arial Narrow" w:hAnsi="Arial Narrow" w:cs="Arial"/>
          <w:sz w:val="22"/>
          <w:szCs w:val="22"/>
        </w:rPr>
        <w:t> Pláne obnovy</w:t>
      </w:r>
      <w:r w:rsidRPr="004553A0">
        <w:rPr>
          <w:rFonts w:ascii="Arial Narrow" w:hAnsi="Arial Narrow" w:cs="Arial"/>
          <w:sz w:val="22"/>
          <w:szCs w:val="22"/>
        </w:rPr>
        <w:t xml:space="preserve"> vo výdavkoch za jednotlivé komponenty. Spravidla sa odvíja od sumy výdavkov na investície. Vykonávateľ je oprávnený z týchto prostriedkov financovať akékoľvek výdavky s cieľom zabezpečiť riadnu implementáciu jemu zverenej časti </w:t>
      </w:r>
      <w:r w:rsidR="003E794A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>. Výdavky na implementačnú jednotku je vykonávateľ povinný plánovať tak, aby ich kumulatívna suma nepresiahla čiastku určenú v</w:t>
      </w:r>
      <w:r w:rsidR="003E794A" w:rsidRPr="004553A0">
        <w:rPr>
          <w:rFonts w:ascii="Arial Narrow" w:hAnsi="Arial Narrow" w:cs="Arial"/>
          <w:sz w:val="22"/>
          <w:szCs w:val="22"/>
        </w:rPr>
        <w:t> Pláne obnovy</w:t>
      </w:r>
      <w:r w:rsidRPr="004553A0">
        <w:rPr>
          <w:rFonts w:ascii="Arial Narrow" w:hAnsi="Arial Narrow" w:cs="Arial"/>
          <w:sz w:val="22"/>
          <w:szCs w:val="22"/>
        </w:rPr>
        <w:t xml:space="preserve"> sumárne za všetky komponenty v zodpovednosti vykonávateľa. Suma výdavkov na administratívne kapacity sa rozpočtuje v kapitole vykonávateľa, aj v prípade zapojenia </w:t>
      </w:r>
      <w:r w:rsidR="00931B6D" w:rsidRPr="004553A0">
        <w:rPr>
          <w:rFonts w:ascii="Arial Narrow" w:hAnsi="Arial Narrow" w:cs="Arial"/>
          <w:sz w:val="22"/>
          <w:szCs w:val="22"/>
        </w:rPr>
        <w:t>sprostredkovateľa</w:t>
      </w:r>
      <w:r w:rsidRPr="004553A0">
        <w:rPr>
          <w:rFonts w:ascii="Arial Narrow" w:hAnsi="Arial Narrow" w:cs="Arial"/>
          <w:sz w:val="22"/>
          <w:szCs w:val="22"/>
        </w:rPr>
        <w:t>.</w:t>
      </w:r>
    </w:p>
    <w:p w:rsidR="00DA276D" w:rsidRPr="004553A0" w:rsidRDefault="00DA276D" w:rsidP="00DA276D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Požadované počty štátnozamestnaneckých miest a počty zamestnancov pri výkone práce vo verejnom záujme</w:t>
      </w:r>
      <w:r w:rsidRPr="004553A0">
        <w:rPr>
          <w:rFonts w:ascii="Arial Narrow" w:hAnsi="Arial Narrow"/>
          <w:vertAlign w:val="superscript"/>
        </w:rPr>
        <w:footnoteReference w:id="1"/>
      </w:r>
      <w:r w:rsidRPr="004553A0">
        <w:rPr>
          <w:rFonts w:ascii="Arial Narrow" w:hAnsi="Arial Narrow" w:cs="Arial"/>
          <w:sz w:val="22"/>
          <w:szCs w:val="22"/>
        </w:rPr>
        <w:t xml:space="preserve"> a súvisiace výdavky na činnosť implementačnej jednotky uvedené v záložke s názvom „implementačná 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jednotka_POO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 prehľade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vykonávateľ bližšie rozpíše v záložke „1. 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pers_kap_implement_jednotka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 prehľade podľa prílohy </w:t>
      </w:r>
      <w:r w:rsidR="00A73D66">
        <w:rPr>
          <w:rFonts w:ascii="Arial Narrow" w:hAnsi="Arial Narrow" w:cs="Arial"/>
          <w:sz w:val="22"/>
          <w:szCs w:val="22"/>
        </w:rPr>
        <w:t>č. 4.3 - 1b</w:t>
      </w:r>
      <w:r w:rsidRPr="004553A0">
        <w:rPr>
          <w:rFonts w:ascii="Arial Narrow" w:hAnsi="Arial Narrow" w:cs="Arial"/>
          <w:sz w:val="22"/>
          <w:szCs w:val="22"/>
        </w:rPr>
        <w:t>. V tomto prehľade vykonávateľ uvedie rozdelenie počtu zamestnancov a výdavkov výlučne na činnosť implementačnej jednotky podľa úrovní</w:t>
      </w:r>
      <w:r w:rsidRPr="004553A0">
        <w:rPr>
          <w:rFonts w:ascii="Arial Narrow" w:hAnsi="Arial Narrow"/>
          <w:vertAlign w:val="superscript"/>
        </w:rPr>
        <w:footnoteReference w:id="2"/>
      </w:r>
      <w:r w:rsidRPr="004553A0">
        <w:rPr>
          <w:rFonts w:ascii="Arial Narrow" w:hAnsi="Arial Narrow" w:cs="Arial"/>
          <w:sz w:val="22"/>
          <w:szCs w:val="22"/>
        </w:rPr>
        <w:t xml:space="preserve"> na aparát ústredného orgánu štátnej správy, podriadené štátne rozpočtové organizácie a podriadené štátne príspevkové organizácie. 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b/>
          <w:sz w:val="22"/>
        </w:rPr>
      </w:pPr>
      <w:r w:rsidRPr="004553A0">
        <w:rPr>
          <w:rFonts w:ascii="Arial Narrow" w:hAnsi="Arial Narrow" w:cs="Arial"/>
          <w:b/>
          <w:sz w:val="22"/>
        </w:rPr>
        <w:t>priamo súvisiace s implementáciou investície a reformy bez DPH</w:t>
      </w:r>
    </w:p>
    <w:p w:rsidR="00DA276D" w:rsidRPr="004553A0" w:rsidRDefault="00DA276D" w:rsidP="005C4C88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Ide o výdavky nevyhnutné na implementáciu investície/reformy s cieľom splniť ciele a míľniky v požadovanom </w:t>
      </w:r>
      <w:r w:rsidRPr="004553A0">
        <w:rPr>
          <w:rFonts w:ascii="Arial Narrow" w:hAnsi="Arial Narrow" w:cs="Arial"/>
          <w:sz w:val="22"/>
          <w:szCs w:val="22"/>
        </w:rPr>
        <w:lastRenderedPageBreak/>
        <w:t xml:space="preserve">rozsahu, kvalite a termíne. </w:t>
      </w:r>
    </w:p>
    <w:p w:rsidR="00DA276D" w:rsidRPr="004553A0" w:rsidRDefault="00DA276D" w:rsidP="005C4C88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Požadované počty štátnozamestnaneckých miest a počty zamestnancov pri výkone práce vo verejnom záujme</w:t>
      </w:r>
      <w:r w:rsidR="000F7969" w:rsidRPr="004553A0">
        <w:rPr>
          <w:rFonts w:ascii="Arial Narrow" w:hAnsi="Arial Narrow" w:cs="Arial"/>
          <w:sz w:val="22"/>
          <w:szCs w:val="22"/>
        </w:rPr>
        <w:t xml:space="preserve"> </w:t>
      </w:r>
      <w:r w:rsidRPr="004553A0">
        <w:rPr>
          <w:rFonts w:ascii="Arial Narrow" w:hAnsi="Arial Narrow" w:cs="Arial"/>
          <w:sz w:val="22"/>
          <w:szCs w:val="22"/>
        </w:rPr>
        <w:t>a súvisiace výdavky na implementáciu investícií a reforiem v jednotlivých komponentoch uvedené v záložke s názvom „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investície_reformy_POO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 prehľade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vykonávateľ bližšie rozpíše v záložke „2. 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pers_kap_investície_reformy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 prehľade podľa prílohy </w:t>
      </w:r>
      <w:r w:rsidR="00A73D66">
        <w:rPr>
          <w:rFonts w:ascii="Arial Narrow" w:hAnsi="Arial Narrow" w:cs="Arial"/>
          <w:sz w:val="22"/>
          <w:szCs w:val="22"/>
        </w:rPr>
        <w:t>č. 4.3 - 1b</w:t>
      </w:r>
      <w:r w:rsidRPr="004553A0">
        <w:rPr>
          <w:rFonts w:ascii="Arial Narrow" w:hAnsi="Arial Narrow" w:cs="Arial"/>
          <w:sz w:val="22"/>
          <w:szCs w:val="22"/>
        </w:rPr>
        <w:t xml:space="preserve">. V tomto prehľade vykonávateľ uvedie rozdelenie počtu zamestnancov a výdavkov výlučne na implementáciu investícií a reforiem v jednotlivých komponentoch podľa úrovní na aparát ústredného orgánu štátnej správy, podriadené štátne rozpočtové organizácie a podriadené štátne príspevkové organizácie. 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b/>
          <w:sz w:val="22"/>
        </w:rPr>
      </w:pPr>
      <w:r w:rsidRPr="004553A0">
        <w:rPr>
          <w:rFonts w:ascii="Arial Narrow" w:hAnsi="Arial Narrow" w:cs="Arial"/>
          <w:b/>
          <w:sz w:val="22"/>
        </w:rPr>
        <w:t>DPH súvisiaca s výdavkami financovanými z kódu zdroja 1P01</w:t>
      </w:r>
    </w:p>
    <w:p w:rsidR="00DA276D" w:rsidRPr="004553A0" w:rsidRDefault="00DA276D" w:rsidP="00461BAF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Pre výdavky zo zdroje 1P01, ktoré podliehajú DPH, sa výdavky na DPH plánujú samostatne. 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b/>
          <w:sz w:val="22"/>
        </w:rPr>
      </w:pPr>
      <w:r w:rsidRPr="004553A0">
        <w:rPr>
          <w:rFonts w:ascii="Arial Narrow" w:hAnsi="Arial Narrow" w:cs="Arial"/>
          <w:b/>
          <w:sz w:val="22"/>
        </w:rPr>
        <w:t>výdavky nad rámec P</w:t>
      </w:r>
      <w:r w:rsidR="00461BAF" w:rsidRPr="004553A0">
        <w:rPr>
          <w:rFonts w:ascii="Arial Narrow" w:hAnsi="Arial Narrow" w:cs="Arial"/>
          <w:b/>
          <w:sz w:val="22"/>
        </w:rPr>
        <w:t>lánu obnovy</w:t>
      </w:r>
      <w:r w:rsidRPr="004553A0">
        <w:rPr>
          <w:rFonts w:ascii="Arial Narrow" w:hAnsi="Arial Narrow" w:cs="Arial"/>
          <w:b/>
          <w:sz w:val="22"/>
        </w:rPr>
        <w:t xml:space="preserve"> vrátane DPH</w:t>
      </w:r>
    </w:p>
    <w:p w:rsidR="00DA276D" w:rsidRPr="004553A0" w:rsidRDefault="00DA276D" w:rsidP="00461BAF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Tieto výdavky vykonávateľ plánuje spravidla len v prípade, ak potreba ich financovania vyplýva z</w:t>
      </w:r>
      <w:r w:rsidR="00461BAF" w:rsidRPr="004553A0">
        <w:rPr>
          <w:rFonts w:ascii="Arial Narrow" w:hAnsi="Arial Narrow" w:cs="Arial"/>
          <w:sz w:val="22"/>
          <w:szCs w:val="22"/>
        </w:rPr>
        <w:t> Plánu obnovy</w:t>
      </w:r>
      <w:r w:rsidRPr="004553A0">
        <w:rPr>
          <w:rFonts w:ascii="Arial Narrow" w:hAnsi="Arial Narrow" w:cs="Arial"/>
          <w:sz w:val="22"/>
          <w:szCs w:val="22"/>
        </w:rPr>
        <w:t xml:space="preserve">. Ich potrebu osobitne posudzuje národná implementačná a koordinačná autorita. </w:t>
      </w:r>
    </w:p>
    <w:p w:rsidR="00DA276D" w:rsidRPr="004553A0" w:rsidRDefault="00DA276D" w:rsidP="00461BAF">
      <w:pPr>
        <w:widowControl w:val="0"/>
        <w:autoSpaceDE w:val="0"/>
        <w:autoSpaceDN w:val="0"/>
        <w:adjustRightInd w:val="0"/>
        <w:spacing w:before="120"/>
        <w:ind w:left="284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Požadované počty štátnozamestnaneckých miest a zamestnancov pri výkone práce vo verejnom záujme a súvisiace výdavky nad rámec </w:t>
      </w:r>
      <w:r w:rsidR="00461BAF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uvedené v záložke s názvom „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výdav_nad_rámec_POO_vrátane_DPH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 prehľade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vykonávateľ bližšie rozpíše v záložke „3. 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pers_kap_neoprávnené_výdavky</w:t>
      </w:r>
      <w:proofErr w:type="spellEnd"/>
      <w:r w:rsidRPr="004553A0">
        <w:rPr>
          <w:rFonts w:ascii="Arial Narrow" w:hAnsi="Arial Narrow" w:cs="Arial"/>
          <w:sz w:val="22"/>
          <w:szCs w:val="22"/>
        </w:rPr>
        <w:t xml:space="preserve">“ v prehľade podľa prílohy </w:t>
      </w:r>
      <w:r w:rsidR="00A73D66">
        <w:rPr>
          <w:rFonts w:ascii="Arial Narrow" w:hAnsi="Arial Narrow" w:cs="Arial"/>
          <w:sz w:val="22"/>
          <w:szCs w:val="22"/>
        </w:rPr>
        <w:t>č. 4.3 - 1b</w:t>
      </w:r>
      <w:r w:rsidRPr="004553A0">
        <w:rPr>
          <w:rFonts w:ascii="Arial Narrow" w:hAnsi="Arial Narrow" w:cs="Arial"/>
          <w:sz w:val="22"/>
          <w:szCs w:val="22"/>
        </w:rPr>
        <w:t xml:space="preserve">. V tomto prehľade vykonávateľ uvedie rozdelenie počtu zamestnancov a výdavkov výlučne nad rámec </w:t>
      </w:r>
      <w:r w:rsidR="00461BAF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podľa úrovní na aparát ústredného orgánu štátnej správy, podriadené štátne rozpočtové organizácie a podriadené štátne príspevkové organizácie. 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Vyššie uvedené typy výdavkov v pláne výdavkov za </w:t>
      </w:r>
      <w:r w:rsidR="00461BAF" w:rsidRPr="004553A0">
        <w:rPr>
          <w:rFonts w:ascii="Arial Narrow" w:hAnsi="Arial Narrow" w:cs="Arial"/>
          <w:sz w:val="22"/>
          <w:szCs w:val="22"/>
        </w:rPr>
        <w:t>Plán obnovy</w:t>
      </w:r>
      <w:r w:rsidRPr="004553A0">
        <w:rPr>
          <w:rFonts w:ascii="Arial Narrow" w:hAnsi="Arial Narrow" w:cs="Arial"/>
          <w:sz w:val="22"/>
          <w:szCs w:val="22"/>
        </w:rPr>
        <w:t xml:space="preserve"> vykonávateľ uvádza v štruktúre podľa: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sz w:val="22"/>
        </w:rPr>
      </w:pPr>
      <w:r w:rsidRPr="004553A0">
        <w:rPr>
          <w:rFonts w:ascii="Arial Narrow" w:hAnsi="Arial Narrow" w:cs="Arial"/>
          <w:sz w:val="22"/>
        </w:rPr>
        <w:t>komponentov a podľa investícií a reforiem v nich zahrnutých, a zároveň</w:t>
      </w:r>
    </w:p>
    <w:p w:rsidR="00DA276D" w:rsidRPr="004553A0" w:rsidRDefault="00DA276D" w:rsidP="00AC1EF0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before="120"/>
        <w:ind w:left="284" w:hanging="299"/>
        <w:jc w:val="both"/>
        <w:rPr>
          <w:rFonts w:ascii="Arial Narrow" w:hAnsi="Arial Narrow" w:cs="Arial"/>
          <w:sz w:val="22"/>
        </w:rPr>
      </w:pPr>
      <w:r w:rsidRPr="004553A0">
        <w:rPr>
          <w:rFonts w:ascii="Arial Narrow" w:hAnsi="Arial Narrow" w:cs="Arial"/>
          <w:sz w:val="22"/>
        </w:rPr>
        <w:t xml:space="preserve">kategórií ekonomickej klasifikácie rozpočtovej klasifikácie (kategórie 610, 620, 630, 640 a 700) </w:t>
      </w:r>
      <w:r w:rsidR="003332D0" w:rsidRPr="004553A0">
        <w:rPr>
          <w:rFonts w:ascii="Arial Narrow" w:hAnsi="Arial Narrow" w:cs="Arial"/>
          <w:sz w:val="22"/>
        </w:rPr>
        <w:t>v z</w:t>
      </w:r>
      <w:r w:rsidRPr="004553A0">
        <w:rPr>
          <w:rFonts w:ascii="Arial Narrow" w:hAnsi="Arial Narrow" w:cs="Arial"/>
          <w:sz w:val="22"/>
        </w:rPr>
        <w:t>mysle opatrenia Ministerstva financií, ktorým sa ustanovuje druhová klasifikácia, organizačná klasifikácia a ekonomická klasifikácia rozpočtovej klasifikácie</w:t>
      </w:r>
      <w:r w:rsidRPr="004553A0">
        <w:rPr>
          <w:rFonts w:ascii="Arial Narrow" w:hAnsi="Arial Narrow" w:cs="Arial"/>
          <w:sz w:val="22"/>
          <w:vertAlign w:val="superscript"/>
        </w:rPr>
        <w:footnoteReference w:id="3"/>
      </w:r>
      <w:r w:rsidRPr="004553A0">
        <w:rPr>
          <w:rFonts w:ascii="Arial Narrow" w:hAnsi="Arial Narrow" w:cs="Arial"/>
          <w:sz w:val="22"/>
        </w:rPr>
        <w:t>.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Pokiaľ sa z vyššie uvedených zdrojov na financovanie implementácie </w:t>
      </w:r>
      <w:r w:rsidR="00773342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plánujú financovať personálne výdavky, pre vytváranie nových štátnozamestnaneckých miest a pracovných miest pre zamestnancov pri výkone práce vo verejnom záujme a pre ich financovanie platia obdobné pravidlá ako pri navyšovaní personálnych kapacít financovaných zo štátneho rozpočtu. Pre navýšenie personálnych kapacít potrebuje vykonávateľ zvážiť schválené limity počtu zamestnancov a finančné krytie takéhoto navýšenia. Personálne výdavky plánuje vykonávateľ na všetky rozpočtové roky až do roku 2026. Vzhľadom na obdobie trvania implementácie </w:t>
      </w:r>
      <w:r w:rsidR="00773342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je potrebné zobrať do úvahy skutočnosť, že pôjde spravidla o pracovné miesta vytvorené na dobu určitú, t. j. do obdobia </w:t>
      </w:r>
      <w:r w:rsidR="00773342" w:rsidRPr="004553A0">
        <w:rPr>
          <w:rFonts w:ascii="Arial Narrow" w:hAnsi="Arial Narrow" w:cs="Arial"/>
          <w:sz w:val="22"/>
          <w:szCs w:val="22"/>
        </w:rPr>
        <w:t xml:space="preserve">v ktorom sú pracovné miesta nevyhnutné, najviac počas </w:t>
      </w:r>
      <w:r w:rsidRPr="004553A0">
        <w:rPr>
          <w:rFonts w:ascii="Arial Narrow" w:hAnsi="Arial Narrow" w:cs="Arial"/>
          <w:sz w:val="22"/>
          <w:szCs w:val="22"/>
        </w:rPr>
        <w:t xml:space="preserve">trvania implementácie </w:t>
      </w:r>
      <w:r w:rsidR="00773342" w:rsidRPr="004553A0">
        <w:rPr>
          <w:rFonts w:ascii="Arial Narrow" w:hAnsi="Arial Narrow" w:cs="Arial"/>
          <w:sz w:val="22"/>
          <w:szCs w:val="22"/>
        </w:rPr>
        <w:t>Plánu obnovy, maximálne do roku 2026</w:t>
      </w:r>
      <w:r w:rsidRPr="004553A0">
        <w:rPr>
          <w:rFonts w:ascii="Arial Narrow" w:hAnsi="Arial Narrow" w:cs="Arial"/>
          <w:sz w:val="22"/>
          <w:szCs w:val="22"/>
        </w:rPr>
        <w:t xml:space="preserve">. 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V prípade, že vykonávateľ má pre plnenie úloh súvisiacich s implementáciou </w:t>
      </w:r>
      <w:r w:rsidR="00773342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sprostredkovateľa, ktorý je štátnou rozpočtovou organizáciou, príslušné výdavky vykonávateľ plánuje vo svojej kapitole a prostriedky sprostredkovateľovi na plnenie úloh súvisiacich s vykonávaním </w:t>
      </w:r>
      <w:r w:rsidR="00773342" w:rsidRPr="004553A0">
        <w:rPr>
          <w:rFonts w:ascii="Arial Narrow" w:hAnsi="Arial Narrow" w:cs="Arial"/>
          <w:sz w:val="22"/>
          <w:szCs w:val="22"/>
        </w:rPr>
        <w:t>Plánu obnovy</w:t>
      </w:r>
      <w:r w:rsidRPr="004553A0">
        <w:rPr>
          <w:rFonts w:ascii="Arial Narrow" w:hAnsi="Arial Narrow" w:cs="Arial"/>
          <w:sz w:val="22"/>
          <w:szCs w:val="22"/>
        </w:rPr>
        <w:t xml:space="preserve"> sa budú poskytovať rozpočtovým opatrením. Ak je sprostredkovateľom iná organizácia ako štátna rozpočtová organizácia, prostriedky sa budú poskytovať transferom.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Plán výdavkov za </w:t>
      </w:r>
      <w:r w:rsidR="00773342" w:rsidRPr="004553A0">
        <w:rPr>
          <w:rFonts w:ascii="Arial Narrow" w:hAnsi="Arial Narrow" w:cs="Arial"/>
          <w:sz w:val="22"/>
          <w:szCs w:val="22"/>
        </w:rPr>
        <w:t>Plán obnovy</w:t>
      </w:r>
      <w:r w:rsidRPr="004553A0">
        <w:rPr>
          <w:rFonts w:ascii="Arial Narrow" w:hAnsi="Arial Narrow" w:cs="Arial"/>
          <w:sz w:val="22"/>
          <w:szCs w:val="22"/>
        </w:rPr>
        <w:t xml:space="preserve"> spracovaný podľa prílohy </w:t>
      </w:r>
      <w:r w:rsidR="00A73D66">
        <w:rPr>
          <w:rFonts w:ascii="Arial Narrow" w:hAnsi="Arial Narrow" w:cs="Arial"/>
          <w:sz w:val="22"/>
          <w:szCs w:val="22"/>
        </w:rPr>
        <w:t>č. 4.3 - 1a</w:t>
      </w:r>
      <w:r w:rsidRPr="004553A0">
        <w:rPr>
          <w:rFonts w:ascii="Arial Narrow" w:hAnsi="Arial Narrow" w:cs="Arial"/>
          <w:sz w:val="22"/>
          <w:szCs w:val="22"/>
        </w:rPr>
        <w:t xml:space="preserve"> a prílohy </w:t>
      </w:r>
      <w:r w:rsidR="00A73D66">
        <w:rPr>
          <w:rFonts w:ascii="Arial Narrow" w:hAnsi="Arial Narrow" w:cs="Arial"/>
          <w:sz w:val="22"/>
          <w:szCs w:val="22"/>
        </w:rPr>
        <w:t>č. 4.3 - 1b</w:t>
      </w:r>
      <w:r w:rsidRPr="004553A0">
        <w:rPr>
          <w:rFonts w:ascii="Arial Narrow" w:hAnsi="Arial Narrow" w:cs="Arial"/>
          <w:sz w:val="22"/>
          <w:szCs w:val="22"/>
        </w:rPr>
        <w:t xml:space="preserve"> predloží vykonávateľ </w:t>
      </w:r>
      <w:r w:rsidR="00773342" w:rsidRPr="004553A0">
        <w:rPr>
          <w:rFonts w:ascii="Arial Narrow" w:hAnsi="Arial Narrow" w:cs="Arial"/>
          <w:sz w:val="22"/>
          <w:szCs w:val="22"/>
        </w:rPr>
        <w:t xml:space="preserve">národnej implementačnej a koordinačnej autorite </w:t>
      </w:r>
      <w:r w:rsidRPr="004553A0">
        <w:rPr>
          <w:rFonts w:ascii="Arial Narrow" w:hAnsi="Arial Narrow" w:cs="Arial"/>
          <w:sz w:val="22"/>
          <w:szCs w:val="22"/>
        </w:rPr>
        <w:t xml:space="preserve">v termíne do </w:t>
      </w:r>
      <w:r w:rsidR="00B17E3F" w:rsidRPr="004553A0">
        <w:rPr>
          <w:rFonts w:ascii="Arial Narrow" w:hAnsi="Arial Narrow" w:cs="Arial"/>
          <w:sz w:val="22"/>
          <w:szCs w:val="22"/>
        </w:rPr>
        <w:t>15. februára, 15. mája a 15. augusta</w:t>
      </w:r>
      <w:r w:rsidRPr="004553A0">
        <w:rPr>
          <w:rFonts w:ascii="Arial Narrow" w:hAnsi="Arial Narrow" w:cs="Arial"/>
          <w:sz w:val="22"/>
          <w:szCs w:val="22"/>
        </w:rPr>
        <w:t xml:space="preserve"> </w:t>
      </w:r>
      <w:r w:rsidR="00773342" w:rsidRPr="004553A0">
        <w:rPr>
          <w:rFonts w:ascii="Arial Narrow" w:hAnsi="Arial Narrow" w:cs="Arial"/>
          <w:sz w:val="22"/>
          <w:szCs w:val="22"/>
        </w:rPr>
        <w:t>daného roka</w:t>
      </w:r>
      <w:r w:rsidRPr="004553A0">
        <w:rPr>
          <w:rFonts w:ascii="Arial Narrow" w:hAnsi="Arial Narrow" w:cs="Arial"/>
          <w:sz w:val="22"/>
          <w:szCs w:val="22"/>
        </w:rPr>
        <w:t xml:space="preserve">. 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 xml:space="preserve">Pri posudzovaní požiadaviek vykonávateľa uvedených v pláne výdavkov pre </w:t>
      </w:r>
      <w:r w:rsidR="00611BB3" w:rsidRPr="004553A0">
        <w:rPr>
          <w:rFonts w:ascii="Arial Narrow" w:hAnsi="Arial Narrow" w:cs="Arial"/>
          <w:sz w:val="22"/>
          <w:szCs w:val="22"/>
        </w:rPr>
        <w:t>Plán obnovy</w:t>
      </w:r>
      <w:r w:rsidRPr="004553A0">
        <w:rPr>
          <w:rFonts w:ascii="Arial Narrow" w:hAnsi="Arial Narrow" w:cs="Arial"/>
          <w:sz w:val="22"/>
          <w:szCs w:val="22"/>
        </w:rPr>
        <w:t xml:space="preserve"> národná implementačná a koordinačná autorita spoluprac</w:t>
      </w:r>
      <w:r w:rsidR="00611BB3" w:rsidRPr="004553A0">
        <w:rPr>
          <w:rFonts w:ascii="Arial Narrow" w:hAnsi="Arial Narrow" w:cs="Arial"/>
          <w:sz w:val="22"/>
          <w:szCs w:val="22"/>
        </w:rPr>
        <w:t>uje</w:t>
      </w:r>
      <w:r w:rsidRPr="004553A0">
        <w:rPr>
          <w:rFonts w:ascii="Arial Narrow" w:hAnsi="Arial Narrow" w:cs="Arial"/>
          <w:sz w:val="22"/>
          <w:szCs w:val="22"/>
        </w:rPr>
        <w:t xml:space="preserve"> so sekciou rozpočtovej politiky M</w:t>
      </w:r>
      <w:r w:rsidR="00611BB3" w:rsidRPr="004553A0">
        <w:rPr>
          <w:rFonts w:ascii="Arial Narrow" w:hAnsi="Arial Narrow" w:cs="Arial"/>
          <w:sz w:val="22"/>
          <w:szCs w:val="22"/>
        </w:rPr>
        <w:t>inisterstva financií SR</w:t>
      </w:r>
      <w:r w:rsidRPr="004553A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4553A0">
        <w:rPr>
          <w:rFonts w:ascii="Arial Narrow" w:hAnsi="Arial Narrow" w:cs="Arial"/>
          <w:sz w:val="22"/>
          <w:szCs w:val="22"/>
        </w:rPr>
        <w:t>SR</w:t>
      </w:r>
      <w:proofErr w:type="spellEnd"/>
      <w:r w:rsidRPr="004553A0">
        <w:rPr>
          <w:rFonts w:ascii="Arial Narrow" w:hAnsi="Arial Narrow" w:cs="Arial"/>
          <w:sz w:val="22"/>
          <w:szCs w:val="22"/>
        </w:rPr>
        <w:t>.</w:t>
      </w:r>
      <w:r w:rsidRPr="004553A0">
        <w:rPr>
          <w:rFonts w:ascii="Arial Narrow" w:hAnsi="Arial Narrow" w:cs="Arial"/>
          <w:b/>
          <w:sz w:val="22"/>
          <w:szCs w:val="22"/>
        </w:rPr>
        <w:t xml:space="preserve"> </w:t>
      </w:r>
      <w:r w:rsidRPr="004553A0">
        <w:rPr>
          <w:rFonts w:ascii="Arial Narrow" w:hAnsi="Arial Narrow" w:cs="Arial"/>
          <w:sz w:val="22"/>
          <w:szCs w:val="22"/>
        </w:rPr>
        <w:t xml:space="preserve">Plán výdavkov za </w:t>
      </w:r>
      <w:r w:rsidR="00611BB3" w:rsidRPr="004553A0">
        <w:rPr>
          <w:rFonts w:ascii="Arial Narrow" w:hAnsi="Arial Narrow" w:cs="Arial"/>
          <w:sz w:val="22"/>
          <w:szCs w:val="22"/>
        </w:rPr>
        <w:t>Plán obnovy</w:t>
      </w:r>
      <w:r w:rsidRPr="004553A0">
        <w:rPr>
          <w:rFonts w:ascii="Arial Narrow" w:hAnsi="Arial Narrow" w:cs="Arial"/>
          <w:sz w:val="22"/>
          <w:szCs w:val="22"/>
        </w:rPr>
        <w:t xml:space="preserve"> predložený vykonávateľom bude po diskusii medzi sekciou rozpočtovej politiky Ministerstva financií </w:t>
      </w:r>
      <w:r w:rsidRPr="004553A0">
        <w:rPr>
          <w:rFonts w:ascii="Arial Narrow" w:hAnsi="Arial Narrow" w:cs="Arial"/>
          <w:sz w:val="22"/>
          <w:szCs w:val="22"/>
        </w:rPr>
        <w:lastRenderedPageBreak/>
        <w:t xml:space="preserve">SR a národnou implementačnou a koordinačnou autoritou zohľadnený pri príprave návrhu rozpočtu </w:t>
      </w:r>
      <w:r w:rsidR="00611BB3" w:rsidRPr="004553A0">
        <w:rPr>
          <w:rFonts w:ascii="Arial Narrow" w:hAnsi="Arial Narrow" w:cs="Arial"/>
          <w:sz w:val="22"/>
          <w:szCs w:val="22"/>
        </w:rPr>
        <w:t xml:space="preserve">verejnej správy </w:t>
      </w:r>
      <w:r w:rsidRPr="004553A0">
        <w:rPr>
          <w:rFonts w:ascii="Arial Narrow" w:hAnsi="Arial Narrow" w:cs="Arial"/>
          <w:sz w:val="22"/>
          <w:szCs w:val="22"/>
        </w:rPr>
        <w:t>stanoveným spôsobom pre účely ďalšieho rozpočtového procesu.</w:t>
      </w:r>
    </w:p>
    <w:p w:rsidR="00DA276D" w:rsidRPr="004553A0" w:rsidRDefault="00DA276D" w:rsidP="00DA276D">
      <w:pPr>
        <w:autoSpaceDE w:val="0"/>
        <w:autoSpaceDN w:val="0"/>
        <w:adjustRightInd w:val="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4553A0">
        <w:rPr>
          <w:rFonts w:ascii="Arial Narrow" w:hAnsi="Arial Narrow" w:cs="Arial"/>
          <w:sz w:val="22"/>
          <w:szCs w:val="22"/>
        </w:rPr>
        <w:t>Výdavky financované z prostriedkov POO sa zaraďujú do programových štruktúr príslušných správcov kapitol do vecne príslušných programov, častí programov tak, aby nedochádzalo k vytváraniu duplicitných programov, častí progr</w:t>
      </w:r>
      <w:r w:rsidR="00991FC2" w:rsidRPr="004553A0">
        <w:rPr>
          <w:rFonts w:ascii="Arial Narrow" w:hAnsi="Arial Narrow" w:cs="Arial"/>
          <w:sz w:val="22"/>
          <w:szCs w:val="22"/>
        </w:rPr>
        <w:t>amov na plnenie rovnakých úloh.</w:t>
      </w:r>
    </w:p>
    <w:p w:rsidR="00EC6385" w:rsidRPr="004553A0" w:rsidRDefault="00EC638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EC6385" w:rsidRPr="004553A0" w:rsidSect="00016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3E6" w:rsidRDefault="009063E6" w:rsidP="006F17EA">
      <w:r>
        <w:separator/>
      </w:r>
    </w:p>
  </w:endnote>
  <w:endnote w:type="continuationSeparator" w:id="0">
    <w:p w:rsidR="009063E6" w:rsidRDefault="009063E6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46" w:rsidRDefault="007323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2A10A4">
      <w:rPr>
        <w:rFonts w:cs="Arial"/>
        <w:noProof/>
        <w:szCs w:val="16"/>
      </w:rPr>
      <w:t>3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46" w:rsidRDefault="007323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3E6" w:rsidRDefault="009063E6" w:rsidP="006F17EA">
      <w:r>
        <w:separator/>
      </w:r>
    </w:p>
  </w:footnote>
  <w:footnote w:type="continuationSeparator" w:id="0">
    <w:p w:rsidR="009063E6" w:rsidRDefault="009063E6" w:rsidP="006F17EA">
      <w:r>
        <w:continuationSeparator/>
      </w:r>
    </w:p>
  </w:footnote>
  <w:footnote w:id="1">
    <w:p w:rsidR="00940010" w:rsidRPr="003E794A" w:rsidRDefault="00940010" w:rsidP="00DA276D">
      <w:pPr>
        <w:pStyle w:val="Textpoznmkypodiarou"/>
        <w:jc w:val="both"/>
        <w:rPr>
          <w:rFonts w:ascii="Arial Narrow" w:hAnsi="Arial Narrow"/>
        </w:rPr>
      </w:pPr>
      <w:r w:rsidRPr="003E794A">
        <w:rPr>
          <w:rStyle w:val="Odkaznapoznmkupodiarou"/>
          <w:rFonts w:ascii="Arial Narrow" w:hAnsi="Arial Narrow"/>
        </w:rPr>
        <w:footnoteRef/>
      </w:r>
      <w:r w:rsidRPr="003E794A">
        <w:rPr>
          <w:rFonts w:ascii="Arial Narrow" w:hAnsi="Arial Narrow"/>
        </w:rPr>
        <w:t xml:space="preserve"> Predmetom sledovania a vykazovania nebudú iba štátni zamestnanci rozpočtových organizácií, ale aj zamestnanci štátnych príspevkových organizácií, ktoré môžu zamestnávať iba zamestnancov pri výkone práce vo verejnom záujme.</w:t>
      </w:r>
    </w:p>
  </w:footnote>
  <w:footnote w:id="2">
    <w:p w:rsidR="00940010" w:rsidRPr="00A34A20" w:rsidRDefault="00940010" w:rsidP="00DA276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3E794A">
        <w:rPr>
          <w:rStyle w:val="Odkaznapoznmkupodiarou"/>
          <w:rFonts w:ascii="Arial Narrow" w:hAnsi="Arial Narrow"/>
        </w:rPr>
        <w:footnoteRef/>
      </w:r>
      <w:r w:rsidRPr="003E794A">
        <w:rPr>
          <w:rFonts w:ascii="Arial Narrow" w:hAnsi="Arial Narrow"/>
        </w:rPr>
        <w:t xml:space="preserve"> Ak sa v rozpočte vykonávateľa plánujú výdavky na implementačnú jednotku za určeného sprostredkovateľa, ktorým je iný ústredný orgán štátnej správy, resp. </w:t>
      </w:r>
      <w:r w:rsidRPr="003E794A">
        <w:rPr>
          <w:rFonts w:ascii="Arial Narrow" w:hAnsi="Arial Narrow"/>
        </w:rPr>
        <w:t xml:space="preserve">iná štátna rozpočtová alebo štátna príspevková organizácia, ktorá nie je v zriaďovacej pôsobnosti vykonávateľa, vykonávateľ vyhotoví samostatný prehľad podľa prílohy </w:t>
      </w:r>
      <w:r w:rsidR="00A73D66">
        <w:rPr>
          <w:rFonts w:ascii="Arial Narrow" w:hAnsi="Arial Narrow"/>
        </w:rPr>
        <w:t>č. 4.3 - 1b</w:t>
      </w:r>
      <w:r w:rsidRPr="003E794A">
        <w:rPr>
          <w:rFonts w:ascii="Arial Narrow" w:hAnsi="Arial Narrow"/>
        </w:rPr>
        <w:t xml:space="preserve"> za tento ústredný orgán štátnej správy, resp. inú štátnu rozpočtovú alebo štátnu príspevkovú organizáciu. Ak je určeným sprostredkovateľom iný subjekt ako štátna rozpočtová alebo štátna príspevková organizácia, prehľad podľa prílohy </w:t>
      </w:r>
      <w:r w:rsidR="00A73D66">
        <w:rPr>
          <w:rFonts w:ascii="Arial Narrow" w:hAnsi="Arial Narrow"/>
        </w:rPr>
        <w:t>č. 4.3 - 1b</w:t>
      </w:r>
      <w:r w:rsidRPr="003E794A">
        <w:rPr>
          <w:rFonts w:ascii="Arial Narrow" w:hAnsi="Arial Narrow"/>
        </w:rPr>
        <w:t xml:space="preserve"> sa za tento subjekt nevypracováva.</w:t>
      </w:r>
    </w:p>
  </w:footnote>
  <w:footnote w:id="3">
    <w:p w:rsidR="00940010" w:rsidRPr="00F50614" w:rsidRDefault="00940010" w:rsidP="00DA276D">
      <w:pPr>
        <w:pStyle w:val="Textpoznmkypodiarou"/>
        <w:jc w:val="both"/>
        <w:rPr>
          <w:rFonts w:ascii="Arial Narrow" w:hAnsi="Arial Narrow"/>
        </w:rPr>
      </w:pPr>
      <w:r w:rsidRPr="00F50614">
        <w:rPr>
          <w:rStyle w:val="Odkaznapoznmkupodiarou"/>
          <w:rFonts w:ascii="Arial Narrow" w:hAnsi="Arial Narrow"/>
        </w:rPr>
        <w:footnoteRef/>
      </w:r>
      <w:r w:rsidRPr="00F50614">
        <w:rPr>
          <w:rFonts w:ascii="Arial Narrow" w:hAnsi="Arial Narrow"/>
        </w:rPr>
        <w:t xml:space="preserve"> </w:t>
      </w:r>
      <w:r w:rsidRPr="00F50614">
        <w:rPr>
          <w:rFonts w:ascii="Arial Narrow" w:hAnsi="Arial Narrow" w:cs="Arial"/>
        </w:rPr>
        <w:t xml:space="preserve">Opatrenie Ministerstva financií SR z 8. decembra 2004, ktorým sa ustanovuje druhová klasifikácia, organizačná klasifikácia a ekonomická klasifikácia rozpočtovej klasifikácie č. MF/010175/2004-42 v znení neskorších predpisov, viď </w:t>
      </w:r>
      <w:hyperlink r:id="rId1" w:history="1">
        <w:r w:rsidRPr="00F50614">
          <w:rPr>
            <w:rStyle w:val="Hypertextovprepojenie"/>
            <w:rFonts w:ascii="Arial Narrow" w:hAnsi="Arial Narrow" w:cs="Segoe UI"/>
          </w:rPr>
          <w:t>https://www.mfsr.sk/sk/financie/verejne-financie/regulacny-komplex-pravnych-noriem-metodickych-postupov-z-oblasti-rozpoctoveho-procesu/rozpoctova-klasifikacia/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46" w:rsidRDefault="007323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46" w:rsidRDefault="00732346" w:rsidP="00732346">
    <w:pPr>
      <w:pStyle w:val="Hlavik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Default="00940010" w:rsidP="00016A67">
    <w:pPr>
      <w:pStyle w:val="Hlavika"/>
      <w:jc w:val="both"/>
      <w:rPr>
        <w:rFonts w:cs="Arial"/>
        <w:szCs w:val="16"/>
      </w:rPr>
    </w:pPr>
  </w:p>
  <w:p w:rsidR="00732346" w:rsidRDefault="00732346" w:rsidP="00016A67">
    <w:pPr>
      <w:pStyle w:val="Hlavika"/>
      <w:jc w:val="both"/>
      <w:rPr>
        <w:rFonts w:cs="Arial"/>
        <w:szCs w:val="16"/>
      </w:rPr>
    </w:pPr>
  </w:p>
  <w:p w:rsidR="00732346" w:rsidRDefault="00732346" w:rsidP="00016A67">
    <w:pPr>
      <w:pStyle w:val="Hlavika"/>
      <w:jc w:val="both"/>
      <w:rPr>
        <w:rFonts w:cs="Arial"/>
        <w:szCs w:val="16"/>
      </w:rPr>
    </w:pPr>
  </w:p>
  <w:p w:rsidR="00732346" w:rsidRPr="004D2A0D" w:rsidRDefault="00732346" w:rsidP="00016A67">
    <w:pPr>
      <w:pStyle w:val="Hlavika"/>
      <w:jc w:val="both"/>
      <w:rPr>
        <w:rFonts w:cs="Arial"/>
        <w:szCs w:val="16"/>
      </w:rPr>
    </w:pPr>
    <w:r w:rsidRPr="004553A0">
      <w:rPr>
        <w:rFonts w:ascii="Arial Narrow" w:hAnsi="Arial Narrow"/>
        <w:b/>
        <w:bCs/>
        <w:color w:val="0070C0"/>
        <w:sz w:val="22"/>
        <w:szCs w:val="22"/>
      </w:rPr>
      <w:t xml:space="preserve">Príloha č. </w:t>
    </w:r>
    <w:r>
      <w:rPr>
        <w:rFonts w:ascii="Arial Narrow" w:hAnsi="Arial Narrow"/>
        <w:b/>
        <w:bCs/>
        <w:color w:val="0070C0"/>
        <w:sz w:val="22"/>
        <w:szCs w:val="22"/>
      </w:rPr>
      <w:t>4.</w:t>
    </w:r>
    <w:r w:rsidRPr="004553A0">
      <w:rPr>
        <w:rFonts w:ascii="Arial Narrow" w:hAnsi="Arial Narrow"/>
        <w:b/>
        <w:bCs/>
        <w:color w:val="0070C0"/>
        <w:sz w:val="22"/>
        <w:szCs w:val="22"/>
      </w:rPr>
      <w:t>3</w:t>
    </w:r>
    <w:r>
      <w:rPr>
        <w:rFonts w:ascii="Arial Narrow" w:hAnsi="Arial Narrow"/>
        <w:b/>
        <w:bCs/>
        <w:color w:val="0070C0"/>
        <w:sz w:val="22"/>
        <w:szCs w:val="22"/>
      </w:rPr>
      <w:t xml:space="preserve"> - 1</w:t>
    </w:r>
    <w:r w:rsidRPr="004553A0">
      <w:rPr>
        <w:rFonts w:ascii="Arial Narrow" w:hAnsi="Arial Narrow"/>
        <w:b/>
        <w:bCs/>
        <w:color w:val="0070C0"/>
        <w:sz w:val="22"/>
        <w:szCs w:val="22"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346" w:rsidRDefault="007323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6470A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10A4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2346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63E6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3D66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44EFB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0DAF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C7731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fsr.sk/sk/financie/verejne-financie/regulacny-komplex-pravnych-noriem-metodickych-postupov-z-oblasti-rozpoctoveho-procesu/rozpoctova-klasifikacia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5E0E-93DB-4262-B480-5B4CEB93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4</cp:revision>
  <dcterms:created xsi:type="dcterms:W3CDTF">2021-12-07T11:41:00Z</dcterms:created>
  <dcterms:modified xsi:type="dcterms:W3CDTF">2021-12-10T11:57:00Z</dcterms:modified>
</cp:coreProperties>
</file>